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left"/>
        <w:rPr>
          <w:rFonts w:ascii="黑体" w:hAnsi="黑体" w:eastAsia="黑体" w:cs="黑体"/>
          <w:bCs/>
          <w:szCs w:val="32"/>
        </w:rPr>
      </w:pPr>
      <w:bookmarkStart w:id="15" w:name="_GoBack"/>
      <w:bookmarkEnd w:id="15"/>
      <w:r>
        <w:rPr>
          <w:rFonts w:hint="eastAsia" w:ascii="黑体" w:hAnsi="黑体" w:eastAsia="黑体" w:cs="黑体"/>
          <w:bCs/>
          <w:szCs w:val="32"/>
        </w:rPr>
        <w:t>附件1</w:t>
      </w:r>
    </w:p>
    <w:p>
      <w:pPr>
        <w:pStyle w:val="2"/>
        <w:spacing w:line="600" w:lineRule="exact"/>
      </w:pPr>
    </w:p>
    <w:p>
      <w:pPr>
        <w:adjustRightInd w:val="0"/>
        <w:snapToGrid w:val="0"/>
        <w:spacing w:line="600" w:lineRule="exact"/>
        <w:jc w:val="center"/>
        <w:outlineLvl w:val="0"/>
        <w:rPr>
          <w:rFonts w:ascii="宋体" w:hAnsi="宋体" w:eastAsia="宋体" w:cs="宋体"/>
          <w:b/>
          <w:bCs/>
          <w:sz w:val="44"/>
          <w:szCs w:val="44"/>
        </w:rPr>
      </w:pPr>
      <w:bookmarkStart w:id="0" w:name="_Toc515605623"/>
      <w:r>
        <w:rPr>
          <w:rFonts w:hint="eastAsia" w:ascii="宋体" w:hAnsi="宋体" w:eastAsia="宋体" w:cs="宋体"/>
          <w:b/>
          <w:bCs/>
          <w:sz w:val="44"/>
          <w:szCs w:val="44"/>
        </w:rPr>
        <w:t>静脉用药调配中心建设</w:t>
      </w:r>
      <w:bookmarkEnd w:id="0"/>
      <w:r>
        <w:rPr>
          <w:rFonts w:hint="eastAsia" w:ascii="宋体" w:hAnsi="宋体" w:eastAsia="宋体" w:cs="宋体"/>
          <w:b/>
          <w:bCs/>
          <w:sz w:val="44"/>
          <w:szCs w:val="44"/>
        </w:rPr>
        <w:t>基本要求</w:t>
      </w:r>
    </w:p>
    <w:p>
      <w:pPr>
        <w:pStyle w:val="5"/>
        <w:widowControl w:val="0"/>
        <w:adjustRightInd w:val="0"/>
        <w:snapToGrid w:val="0"/>
        <w:spacing w:before="0" w:beforeAutospacing="0" w:after="0" w:afterAutospacing="0" w:line="600" w:lineRule="exact"/>
        <w:jc w:val="both"/>
        <w:rPr>
          <w:rStyle w:val="8"/>
          <w:rFonts w:ascii="Times New Roman" w:hAnsi="Times New Roman" w:eastAsia="黑体" w:cs="Times New Roman"/>
          <w:b w:val="0"/>
          <w:bCs w:val="0"/>
          <w:sz w:val="32"/>
          <w:szCs w:val="32"/>
        </w:rPr>
      </w:pPr>
      <w:bookmarkStart w:id="1" w:name="_Toc515605624"/>
    </w:p>
    <w:p>
      <w:pPr>
        <w:pStyle w:val="5"/>
        <w:widowControl w:val="0"/>
        <w:adjustRightInd w:val="0"/>
        <w:snapToGrid w:val="0"/>
        <w:spacing w:before="0" w:beforeAutospacing="0" w:after="0" w:afterAutospacing="0" w:line="600" w:lineRule="exact"/>
        <w:ind w:firstLine="643" w:firstLineChars="200"/>
        <w:jc w:val="both"/>
        <w:rPr>
          <w:rStyle w:val="8"/>
          <w:rFonts w:ascii="黑体" w:hAnsi="黑体" w:eastAsia="黑体" w:cs="Times New Roman"/>
          <w:b w:val="0"/>
          <w:sz w:val="32"/>
          <w:szCs w:val="32"/>
        </w:rPr>
      </w:pPr>
      <w:r>
        <w:rPr>
          <w:rStyle w:val="8"/>
          <w:rFonts w:ascii="黑体" w:hAnsi="黑体" w:eastAsia="黑体" w:cs="Times New Roman"/>
          <w:sz w:val="32"/>
          <w:szCs w:val="32"/>
        </w:rPr>
        <w:t>一、建设流程与基本要求</w:t>
      </w:r>
      <w:bookmarkEnd w:id="1"/>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（一）建设流程</w:t>
      </w:r>
      <w:r>
        <w:rPr>
          <w:rFonts w:hint="eastAsia" w:ascii="Times New Roman" w:hAnsi="Times New Roman" w:eastAsia="楷体_GB2312" w:cs="Times New Roman"/>
          <w:kern w:val="2"/>
          <w:sz w:val="32"/>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建设方案→项目设计→技术咨询→建筑装修施工→设施与设备安装→工程验收与洁净环境监测。</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（二）选址要求</w:t>
      </w:r>
      <w:r>
        <w:rPr>
          <w:rFonts w:hint="eastAsia" w:ascii="Times New Roman" w:hAnsi="Times New Roman" w:eastAsia="楷体_GB2312" w:cs="Times New Roman"/>
          <w:kern w:val="2"/>
          <w:sz w:val="32"/>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1.静配中心应当设于人员流动少、位置相对独立的安静区域，并便于与医护人员沟通和成品输液的运送。</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2.设置地点应远离各种污染源，周围环境、路面、植被、空气等不会对静配中心和静脉用药调配过程造成污染。</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 xml:space="preserve">3.不宜设置在地下室和半地下室。 </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4.洁净区采风口应设置在周围30米内环境清洁、无污染地区，离地面高度不低于3米。</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（三）消防要求</w:t>
      </w:r>
      <w:r>
        <w:rPr>
          <w:rFonts w:hint="eastAsia" w:ascii="Times New Roman" w:hAnsi="Times New Roman" w:eastAsia="楷体_GB2312" w:cs="Times New Roman"/>
          <w:kern w:val="2"/>
          <w:sz w:val="32"/>
          <w:szCs w:val="32"/>
        </w:rPr>
        <w:t>。</w:t>
      </w:r>
    </w:p>
    <w:p>
      <w:pPr>
        <w:adjustRightInd w:val="0"/>
        <w:snapToGrid w:val="0"/>
        <w:spacing w:line="600" w:lineRule="exact"/>
        <w:ind w:firstLine="640" w:firstLineChars="200"/>
        <w:rPr>
          <w:rFonts w:ascii="仿宋_GB2312" w:hAnsi="仿宋_GB2312" w:cs="仿宋_GB2312"/>
          <w:color w:val="FF0000"/>
          <w:kern w:val="0"/>
          <w:szCs w:val="32"/>
        </w:rPr>
      </w:pPr>
      <w:r>
        <w:rPr>
          <w:rFonts w:hint="eastAsia" w:ascii="仿宋_GB2312" w:hAnsi="仿宋_GB2312" w:cs="仿宋_GB2312"/>
          <w:kern w:val="0"/>
          <w:szCs w:val="32"/>
        </w:rPr>
        <w:t>1.静配中心设计与装修施工应符合消防要求，设有安全通道，配备消防设施设备、应急灯等。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2.洁净区内应设烟感探测器等消防设施设备，制订消防应急预案，确保洁净区消防安全。</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3.非洁净控制区和辅助工作区应设喷淋系统、排烟系统和烟感探测器。</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（四）面积要求</w:t>
      </w:r>
      <w:r>
        <w:rPr>
          <w:rFonts w:hint="eastAsia" w:ascii="Times New Roman" w:hAnsi="Times New Roman" w:eastAsia="楷体_GB2312" w:cs="Times New Roman"/>
          <w:kern w:val="2"/>
          <w:sz w:val="32"/>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1.静配中心使用面积应与日调配工作量相适应。</w:t>
      </w:r>
    </w:p>
    <w:p>
      <w:pPr>
        <w:adjustRightInd w:val="0"/>
        <w:snapToGrid w:val="0"/>
        <w:spacing w:line="600" w:lineRule="exact"/>
        <w:ind w:firstLine="640" w:firstLineChars="200"/>
        <w:rPr>
          <w:rFonts w:cs="仿宋_GB2312"/>
          <w:kern w:val="0"/>
          <w:szCs w:val="32"/>
        </w:rPr>
      </w:pPr>
      <w:r>
        <w:rPr>
          <w:rFonts w:hint="eastAsia" w:cs="仿宋_GB2312"/>
          <w:kern w:val="0"/>
          <w:szCs w:val="32"/>
        </w:rPr>
        <w:t>（1）日调配量1000袋以下：不少于300</w:t>
      </w:r>
      <w:r>
        <w:rPr>
          <w:rFonts w:hint="eastAsia" w:ascii="Segoe UI Symbol" w:hAnsi="Segoe UI Symbol" w:eastAsia="Segoe UI Symbol" w:cs="Segoe UI Symbol"/>
          <w:kern w:val="0"/>
          <w:szCs w:val="32"/>
        </w:rPr>
        <w:t>㎡</w:t>
      </w:r>
      <w:r>
        <w:rPr>
          <w:rFonts w:hint="eastAsia" w:ascii="仿宋_GB2312" w:hAnsi="仿宋_GB2312" w:cs="仿宋_GB2312"/>
          <w:kern w:val="0"/>
          <w:szCs w:val="32"/>
        </w:rPr>
        <w:t>。</w:t>
      </w:r>
    </w:p>
    <w:p>
      <w:pPr>
        <w:adjustRightInd w:val="0"/>
        <w:snapToGrid w:val="0"/>
        <w:spacing w:line="600" w:lineRule="exact"/>
        <w:ind w:firstLine="640" w:firstLineChars="200"/>
        <w:rPr>
          <w:rFonts w:cs="仿宋_GB2312"/>
          <w:kern w:val="0"/>
          <w:szCs w:val="32"/>
        </w:rPr>
      </w:pPr>
      <w:r>
        <w:rPr>
          <w:rFonts w:hint="eastAsia" w:cs="仿宋_GB2312"/>
          <w:kern w:val="0"/>
          <w:szCs w:val="32"/>
        </w:rPr>
        <w:t>（2）日调配量1001～2000袋：300</w:t>
      </w:r>
      <w:r>
        <w:rPr>
          <w:rFonts w:hint="eastAsia" w:ascii="Segoe UI Symbol" w:hAnsi="Segoe UI Symbol" w:eastAsia="Segoe UI Symbol" w:cs="Segoe UI Symbol"/>
          <w:kern w:val="0"/>
          <w:szCs w:val="32"/>
        </w:rPr>
        <w:t>㎡</w:t>
      </w:r>
      <w:r>
        <w:rPr>
          <w:rFonts w:hint="eastAsia" w:ascii="仿宋_GB2312" w:hAnsi="仿宋_GB2312" w:cs="仿宋_GB2312"/>
          <w:kern w:val="0"/>
          <w:szCs w:val="32"/>
        </w:rPr>
        <w:t>～</w:t>
      </w:r>
      <w:r>
        <w:rPr>
          <w:rFonts w:hint="eastAsia" w:cs="仿宋_GB2312"/>
          <w:kern w:val="0"/>
          <w:szCs w:val="32"/>
        </w:rPr>
        <w:t>500</w:t>
      </w:r>
      <w:r>
        <w:rPr>
          <w:rFonts w:hint="eastAsia" w:ascii="Segoe UI Symbol" w:hAnsi="Segoe UI Symbol" w:eastAsia="Segoe UI Symbol" w:cs="Segoe UI Symbol"/>
          <w:kern w:val="0"/>
          <w:szCs w:val="32"/>
        </w:rPr>
        <w:t>㎡</w:t>
      </w:r>
      <w:r>
        <w:rPr>
          <w:rFonts w:hint="eastAsia" w:ascii="仿宋_GB2312" w:hAnsi="仿宋_GB2312" w:cs="仿宋_GB2312"/>
          <w:kern w:val="0"/>
          <w:szCs w:val="32"/>
        </w:rPr>
        <w:t>。</w:t>
      </w:r>
    </w:p>
    <w:p>
      <w:pPr>
        <w:adjustRightInd w:val="0"/>
        <w:snapToGrid w:val="0"/>
        <w:spacing w:line="600" w:lineRule="exact"/>
        <w:ind w:firstLine="640" w:firstLineChars="200"/>
        <w:rPr>
          <w:rFonts w:cs="仿宋_GB2312"/>
          <w:kern w:val="0"/>
          <w:szCs w:val="32"/>
        </w:rPr>
      </w:pPr>
      <w:r>
        <w:rPr>
          <w:rFonts w:hint="eastAsia" w:cs="仿宋_GB2312"/>
          <w:kern w:val="0"/>
          <w:szCs w:val="32"/>
        </w:rPr>
        <w:t>（3）日调配量2001～3000袋：500</w:t>
      </w:r>
      <w:r>
        <w:rPr>
          <w:rFonts w:hint="eastAsia" w:ascii="Segoe UI Symbol" w:hAnsi="Segoe UI Symbol" w:eastAsia="Segoe UI Symbol" w:cs="Segoe UI Symbol"/>
          <w:kern w:val="0"/>
          <w:szCs w:val="32"/>
        </w:rPr>
        <w:t>㎡</w:t>
      </w:r>
      <w:r>
        <w:rPr>
          <w:rFonts w:hint="eastAsia" w:ascii="仿宋_GB2312" w:hAnsi="仿宋_GB2312" w:cs="仿宋_GB2312"/>
          <w:kern w:val="0"/>
          <w:szCs w:val="32"/>
        </w:rPr>
        <w:t>～</w:t>
      </w:r>
      <w:r>
        <w:rPr>
          <w:rFonts w:hint="eastAsia" w:cs="仿宋_GB2312"/>
          <w:kern w:val="0"/>
          <w:szCs w:val="32"/>
        </w:rPr>
        <w:t>650</w:t>
      </w:r>
      <w:r>
        <w:rPr>
          <w:rFonts w:hint="eastAsia" w:ascii="Segoe UI Symbol" w:hAnsi="Segoe UI Symbol" w:eastAsia="Segoe UI Symbol" w:cs="Segoe UI Symbol"/>
          <w:kern w:val="0"/>
          <w:szCs w:val="32"/>
        </w:rPr>
        <w:t>㎡</w:t>
      </w:r>
      <w:r>
        <w:rPr>
          <w:rFonts w:hint="eastAsia" w:ascii="仿宋_GB2312" w:hAnsi="仿宋_GB2312" w:cs="仿宋_GB2312"/>
          <w:kern w:val="0"/>
          <w:szCs w:val="32"/>
        </w:rPr>
        <w:t>。</w:t>
      </w:r>
    </w:p>
    <w:p>
      <w:pPr>
        <w:adjustRightInd w:val="0"/>
        <w:snapToGrid w:val="0"/>
        <w:spacing w:line="600" w:lineRule="exact"/>
        <w:ind w:firstLine="640" w:firstLineChars="200"/>
        <w:rPr>
          <w:rFonts w:cs="仿宋_GB2312"/>
          <w:kern w:val="0"/>
          <w:szCs w:val="32"/>
        </w:rPr>
      </w:pPr>
      <w:r>
        <w:rPr>
          <w:rFonts w:hint="eastAsia" w:cs="仿宋_GB2312"/>
          <w:kern w:val="0"/>
          <w:szCs w:val="32"/>
        </w:rPr>
        <w:t>（4） 日调配量3001袋以上，每增加500袋递增50</w:t>
      </w:r>
      <w:r>
        <w:rPr>
          <w:rFonts w:hint="eastAsia" w:ascii="Segoe UI Symbol" w:hAnsi="Segoe UI Symbol" w:eastAsia="Segoe UI Symbol" w:cs="Segoe UI Symbol"/>
          <w:kern w:val="0"/>
          <w:szCs w:val="32"/>
        </w:rPr>
        <w:t>㎡</w:t>
      </w:r>
      <w:r>
        <w:rPr>
          <w:rFonts w:hint="eastAsia" w:ascii="仿宋_GB2312" w:hAnsi="仿宋_GB2312" w:cs="仿宋_GB2312"/>
          <w:kern w:val="0"/>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2.洁净区面积应与设置的洁净台数量相匹配。</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3.应设有综合性会议示教休息室，为工作人员提供学习、会议与休息的场所。</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4.上述面积不包括配套的空调机房、淋浴室和卫生间面积。</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（五）设计与</w:t>
      </w:r>
      <w:bookmarkStart w:id="2" w:name="_Hlk525813331"/>
      <w:r>
        <w:rPr>
          <w:rFonts w:ascii="Times New Roman" w:hAnsi="Times New Roman" w:eastAsia="楷体_GB2312" w:cs="Times New Roman"/>
          <w:kern w:val="2"/>
          <w:sz w:val="32"/>
          <w:szCs w:val="32"/>
        </w:rPr>
        <w:t>装修</w:t>
      </w:r>
      <w:bookmarkEnd w:id="2"/>
      <w:r>
        <w:rPr>
          <w:rFonts w:ascii="Times New Roman" w:hAnsi="Times New Roman" w:eastAsia="楷体_GB2312" w:cs="Times New Roman"/>
          <w:kern w:val="2"/>
          <w:sz w:val="32"/>
          <w:szCs w:val="32"/>
        </w:rPr>
        <w:t>施工企业资质</w:t>
      </w:r>
      <w:r>
        <w:rPr>
          <w:rFonts w:hint="eastAsia" w:ascii="Times New Roman" w:hAnsi="Times New Roman" w:eastAsia="楷体_GB2312" w:cs="Times New Roman"/>
          <w:kern w:val="2"/>
          <w:sz w:val="32"/>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1.设计与装修施工企业应有相关部门核发的经营许可证。装修施工企业应具有建筑装修装饰工程专业承包二级及以上资质、有机电安装工程专业承包三级及以上资质和安全生产许可证。</w:t>
      </w:r>
    </w:p>
    <w:p>
      <w:pPr>
        <w:adjustRightInd w:val="0"/>
        <w:snapToGrid w:val="0"/>
        <w:spacing w:line="600" w:lineRule="exact"/>
        <w:ind w:firstLine="640" w:firstLineChars="200"/>
        <w:rPr>
          <w:rFonts w:ascii="仿宋_GB2312" w:hAnsi="仿宋_GB2312" w:cs="仿宋_GB2312"/>
          <w:kern w:val="0"/>
          <w:szCs w:val="32"/>
        </w:rPr>
      </w:pPr>
      <w:bookmarkStart w:id="3" w:name="OLE_LINK9"/>
      <w:r>
        <w:rPr>
          <w:rFonts w:hint="eastAsia" w:ascii="仿宋_GB2312" w:hAnsi="仿宋_GB2312" w:cs="仿宋_GB2312"/>
          <w:kern w:val="0"/>
          <w:szCs w:val="32"/>
        </w:rPr>
        <w:t>2.设计与装修施工企业项目负责人及主要技术人员应经静配中心建设规范培训，熟悉</w:t>
      </w:r>
      <w:bookmarkEnd w:id="3"/>
      <w:r>
        <w:rPr>
          <w:rFonts w:hint="eastAsia" w:ascii="仿宋_GB2312" w:hAnsi="仿宋_GB2312" w:cs="仿宋_GB2312"/>
          <w:kern w:val="0"/>
          <w:szCs w:val="32"/>
        </w:rPr>
        <w:t>静脉用药集中调配工作流程与技术操作规范相关规定。</w:t>
      </w:r>
    </w:p>
    <w:p>
      <w:pPr>
        <w:pStyle w:val="5"/>
        <w:widowControl w:val="0"/>
        <w:adjustRightInd w:val="0"/>
        <w:snapToGrid w:val="0"/>
        <w:spacing w:before="0" w:beforeAutospacing="0" w:after="0" w:afterAutospacing="0" w:line="600" w:lineRule="exact"/>
        <w:ind w:firstLine="643" w:firstLineChars="200"/>
        <w:jc w:val="both"/>
        <w:rPr>
          <w:rStyle w:val="8"/>
          <w:rFonts w:ascii="黑体" w:hAnsi="黑体" w:eastAsia="黑体" w:cs="Times New Roman"/>
          <w:b w:val="0"/>
          <w:sz w:val="32"/>
          <w:szCs w:val="32"/>
        </w:rPr>
      </w:pPr>
      <w:bookmarkStart w:id="4" w:name="_Toc515605625"/>
      <w:r>
        <w:rPr>
          <w:rStyle w:val="8"/>
          <w:rFonts w:ascii="黑体" w:hAnsi="黑体" w:eastAsia="黑体" w:cs="Times New Roman"/>
          <w:sz w:val="32"/>
          <w:szCs w:val="32"/>
        </w:rPr>
        <w:t>二、设计、建筑装修与设施设备</w:t>
      </w:r>
      <w:bookmarkEnd w:id="4"/>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（一）项目设计</w:t>
      </w:r>
      <w:r>
        <w:rPr>
          <w:rFonts w:hint="eastAsia" w:ascii="Times New Roman" w:hAnsi="Times New Roman" w:eastAsia="楷体_GB2312" w:cs="Times New Roman"/>
          <w:kern w:val="2"/>
          <w:sz w:val="32"/>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1.布局要求。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（1）静配中心应设有洁净区、非洁净控制区、辅助工作区三个功能区。</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1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①</w:t>
      </w:r>
      <w:r>
        <w:rPr>
          <w:rFonts w:hint="eastAsia" w:ascii="仿宋_GB2312" w:hAnsi="仿宋_GB2312" w:cs="仿宋_GB2312"/>
          <w:kern w:val="0"/>
          <w:szCs w:val="32"/>
        </w:rPr>
        <w:fldChar w:fldCharType="end"/>
      </w:r>
      <w:r>
        <w:rPr>
          <w:rFonts w:hint="eastAsia" w:ascii="仿宋_GB2312" w:hAnsi="仿宋_GB2312" w:cs="仿宋_GB2312"/>
          <w:kern w:val="0"/>
          <w:szCs w:val="32"/>
        </w:rPr>
        <w:t>洁净区</w:t>
      </w:r>
      <w:bookmarkStart w:id="5" w:name="_Hlk509929836"/>
      <w:r>
        <w:rPr>
          <w:rFonts w:hint="eastAsia" w:ascii="仿宋_GB2312" w:hAnsi="仿宋_GB2312" w:cs="仿宋_GB2312"/>
          <w:kern w:val="0"/>
          <w:szCs w:val="32"/>
        </w:rPr>
        <w:t>设有</w:t>
      </w:r>
      <w:bookmarkEnd w:id="5"/>
      <w:r>
        <w:rPr>
          <w:rFonts w:hint="eastAsia" w:ascii="仿宋_GB2312" w:hAnsi="仿宋_GB2312" w:cs="仿宋_GB2312"/>
          <w:kern w:val="0"/>
          <w:szCs w:val="32"/>
        </w:rPr>
        <w:t>调配操作间、一次更衣室、二次更衣室以及洗衣洁具间；</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2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②</w:t>
      </w:r>
      <w:r>
        <w:rPr>
          <w:rFonts w:hint="eastAsia" w:ascii="仿宋_GB2312" w:hAnsi="仿宋_GB2312" w:cs="仿宋_GB2312"/>
          <w:kern w:val="0"/>
          <w:szCs w:val="32"/>
        </w:rPr>
        <w:fldChar w:fldCharType="end"/>
      </w:r>
      <w:r>
        <w:rPr>
          <w:rFonts w:hint="eastAsia" w:ascii="仿宋_GB2312" w:hAnsi="仿宋_GB2312" w:cs="仿宋_GB2312"/>
          <w:kern w:val="0"/>
          <w:szCs w:val="32"/>
        </w:rPr>
        <w:t>非洁净控制区设有用药医嘱审核、打印输液标签、贴签摆药核对、成品输液核查、包装配送、清洁间、普通更衣及放置工作台、药架、推车、摆药筐等区域；</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3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③</w:t>
      </w:r>
      <w:r>
        <w:rPr>
          <w:rFonts w:hint="eastAsia" w:ascii="仿宋_GB2312" w:hAnsi="仿宋_GB2312" w:cs="仿宋_GB2312"/>
          <w:kern w:val="0"/>
          <w:szCs w:val="32"/>
        </w:rPr>
        <w:fldChar w:fldCharType="end"/>
      </w:r>
      <w:r>
        <w:rPr>
          <w:rFonts w:hint="eastAsia" w:ascii="仿宋_GB2312" w:hAnsi="仿宋_GB2312" w:cs="仿宋_GB2312"/>
          <w:kern w:val="0"/>
          <w:szCs w:val="32"/>
        </w:rPr>
        <w:t>辅助工作区设有药品库、物料储存区、药品脱外包区、转运箱和转运车存放区以及综合性会议示教休息室等；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④配套的空调机房、淋浴室和卫生间也是静配中心的辅助工作区，但</w:t>
      </w:r>
      <w:bookmarkStart w:id="6" w:name="_Hlk84839470"/>
      <w:r>
        <w:rPr>
          <w:rFonts w:hint="eastAsia" w:ascii="仿宋_GB2312" w:hAnsi="仿宋_GB2312" w:cs="仿宋_GB2312"/>
          <w:kern w:val="0"/>
          <w:szCs w:val="32"/>
        </w:rPr>
        <w:t>属于</w:t>
      </w:r>
      <w:r>
        <w:rPr>
          <w:rFonts w:ascii="仿宋_GB2312" w:hAnsi="仿宋_GB2312" w:cs="仿宋_GB2312"/>
          <w:kern w:val="0"/>
          <w:szCs w:val="32"/>
        </w:rPr>
        <w:t>污染源</w:t>
      </w:r>
      <w:r>
        <w:rPr>
          <w:rFonts w:hint="eastAsia" w:ascii="仿宋_GB2312" w:hAnsi="仿宋_GB2312" w:cs="仿宋_GB2312"/>
          <w:kern w:val="0"/>
          <w:szCs w:val="32"/>
        </w:rPr>
        <w:t>区域</w:t>
      </w:r>
      <w:bookmarkEnd w:id="6"/>
      <w:r>
        <w:rPr>
          <w:rFonts w:hint="eastAsia" w:ascii="仿宋_GB2312" w:hAnsi="仿宋_GB2312" w:cs="仿宋_GB2312"/>
          <w:kern w:val="0"/>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（2）三个功能区之间的缓冲衔接和人流与物流走向合理，不得交叉。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（3）不同洁净级别区域间应当有防止交叉污染的相应设施，严格控制流程布局上的交叉污染风险。</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（4）静配中心内不设置地漏。淋浴室及卫生间应设置于静配中心外附近区域，并应严格管控。</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2.净化系统设计要求。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洁净级别要求。一次更衣室、洁净洗衣洁具间为D级（十万级）；二次更衣室、调配操作间为C级（万级）；生物安全柜、水平层流洁净台为A级（百级）。洁净区洁净标准应符合国家相关规定，经检测合格后方可投入使用。</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（2）换气次数要求。D级（十万级）≥15次/小时，C级（万级）≥25次/小时。</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（3）静压差要求。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1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①</w:t>
      </w:r>
      <w:r>
        <w:rPr>
          <w:rFonts w:hint="eastAsia" w:ascii="仿宋_GB2312" w:hAnsi="仿宋_GB2312" w:cs="仿宋_GB2312"/>
          <w:kern w:val="0"/>
          <w:szCs w:val="32"/>
        </w:rPr>
        <w:fldChar w:fldCharType="end"/>
      </w:r>
      <w:r>
        <w:rPr>
          <w:rFonts w:hint="eastAsia" w:ascii="仿宋_GB2312" w:hAnsi="仿宋_GB2312" w:cs="仿宋_GB2312"/>
          <w:kern w:val="0"/>
          <w:szCs w:val="32"/>
        </w:rPr>
        <w:t>电解质类等普通输液与肠外营养液洁净区各房间压差梯度：</w:t>
      </w:r>
      <w:bookmarkStart w:id="7" w:name="_Hlk524962702"/>
      <w:r>
        <w:rPr>
          <w:rFonts w:hint="eastAsia" w:ascii="仿宋_GB2312" w:hAnsi="仿宋_GB2312" w:cs="仿宋_GB2312"/>
          <w:kern w:val="0"/>
          <w:szCs w:val="32"/>
        </w:rPr>
        <w:t>非洁净控制区</w:t>
      </w:r>
      <w:bookmarkEnd w:id="7"/>
      <w:r>
        <w:rPr>
          <w:rFonts w:hint="eastAsia" w:ascii="仿宋_GB2312" w:hAnsi="仿宋_GB2312" w:cs="仿宋_GB2312"/>
          <w:kern w:val="0"/>
          <w:szCs w:val="32"/>
        </w:rPr>
        <w:t>＜一次更衣室＜二次更衣室＜</w:t>
      </w:r>
      <w:bookmarkStart w:id="8" w:name="_Hlk524962676"/>
      <w:r>
        <w:rPr>
          <w:rFonts w:hint="eastAsia" w:ascii="仿宋_GB2312" w:hAnsi="仿宋_GB2312" w:cs="仿宋_GB2312"/>
          <w:kern w:val="0"/>
          <w:szCs w:val="32"/>
        </w:rPr>
        <w:t>调配操作间</w:t>
      </w:r>
      <w:bookmarkEnd w:id="8"/>
      <w:r>
        <w:rPr>
          <w:rFonts w:hint="eastAsia" w:ascii="仿宋_GB2312" w:hAnsi="仿宋_GB2312" w:cs="仿宋_GB2312"/>
          <w:kern w:val="0"/>
          <w:szCs w:val="32"/>
        </w:rPr>
        <w:t>；相邻洁净区域压差5～10Pa；一次更衣室与非洁净控制区</w:t>
      </w:r>
      <w:bookmarkStart w:id="9" w:name="_Hlk524962750"/>
      <w:r>
        <w:rPr>
          <w:rFonts w:hint="eastAsia" w:ascii="仿宋_GB2312" w:hAnsi="仿宋_GB2312" w:cs="仿宋_GB2312"/>
          <w:kern w:val="0"/>
          <w:szCs w:val="32"/>
        </w:rPr>
        <w:t>之间压差≥10Pa；</w:t>
      </w:r>
      <w:bookmarkEnd w:id="9"/>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2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②</w:t>
      </w:r>
      <w:r>
        <w:rPr>
          <w:rFonts w:hint="eastAsia" w:ascii="仿宋_GB2312" w:hAnsi="仿宋_GB2312" w:cs="仿宋_GB2312"/>
          <w:kern w:val="0"/>
          <w:szCs w:val="32"/>
        </w:rPr>
        <w:fldChar w:fldCharType="end"/>
      </w:r>
      <w:r>
        <w:rPr>
          <w:rFonts w:hint="eastAsia" w:ascii="仿宋_GB2312" w:hAnsi="仿宋_GB2312" w:cs="仿宋_GB2312"/>
          <w:kern w:val="0"/>
          <w:szCs w:val="32"/>
        </w:rPr>
        <w:t>抗生素及危害药品洁净区各房间压差梯度：非洁净控制区＜一次更衣室＜二次更衣室＞抗生素及危害药品调配操作间；相邻洁净区域压差5～10Pa；一次更衣室与非洁净控制区之间压差</w:t>
      </w:r>
      <w:bookmarkStart w:id="10" w:name="_Hlk513881526"/>
      <w:r>
        <w:rPr>
          <w:rFonts w:hint="eastAsia" w:ascii="仿宋_GB2312" w:hAnsi="仿宋_GB2312" w:cs="仿宋_GB2312"/>
          <w:kern w:val="0"/>
          <w:szCs w:val="32"/>
        </w:rPr>
        <w:t>≥</w:t>
      </w:r>
      <w:bookmarkEnd w:id="10"/>
      <w:r>
        <w:rPr>
          <w:rFonts w:hint="eastAsia" w:ascii="仿宋_GB2312" w:hAnsi="仿宋_GB2312" w:cs="仿宋_GB2312"/>
          <w:kern w:val="0"/>
          <w:szCs w:val="32"/>
        </w:rPr>
        <w:t>10Pa；</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③调配操作间与非洁净控制区之间压差≥10Pa。</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3.其他设计要求。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（1）一次更衣室、二次更衣室、调配操作间应当分别安装压差表，并选择同一非洁净控制区域作为压差测量基点。</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（2）用于同一洁净区域的空气净化机组及空调系统开关、温湿度表、压差表宜设置于同一块控制面板上，安装在方便操作和观察记录的位置，并应当易于擦拭清洁。</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（3）房屋吊顶高度设计要求。静配中心整体净层高宜达2.5米以上。</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（4）调配操作间应分别设置进物、出物传递窗（门），危害药品进物、出物传递窗（门）。</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（5）调配操作间的设计应当能够使管理或监控人员从外部观察到内部的操作。</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（二）技术</w:t>
      </w:r>
      <w:r>
        <w:rPr>
          <w:rFonts w:hint="eastAsia" w:ascii="Times New Roman" w:hAnsi="Times New Roman" w:eastAsia="楷体_GB2312" w:cs="Times New Roman"/>
          <w:kern w:val="2"/>
          <w:sz w:val="32"/>
          <w:szCs w:val="32"/>
        </w:rPr>
        <w:t>咨询。</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1.项目设计与施工方资质应符合上述有关规定。</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 xml:space="preserve">2.鼓励医疗机构在静配中心设计筹建以及现场验收时，向当地省级静脉用药集中调配管理专业组进行技术咨询，并邀请进行现场指导；在日常运行过程中，可以向当地省级静脉用药集中调配管理专业组提出技术咨询。 </w:t>
      </w:r>
    </w:p>
    <w:p>
      <w:pPr>
        <w:adjustRightInd w:val="0"/>
        <w:snapToGrid w:val="0"/>
        <w:spacing w:line="600" w:lineRule="exact"/>
        <w:ind w:firstLine="640" w:firstLineChars="200"/>
        <w:rPr>
          <w:rFonts w:ascii="仿宋_GB2312" w:hAnsi="仿宋_GB2312" w:cs="仿宋_GB2312"/>
          <w:kern w:val="0"/>
          <w:szCs w:val="32"/>
        </w:rPr>
      </w:pPr>
      <w:r>
        <w:rPr>
          <w:rFonts w:ascii="仿宋_GB2312" w:hAnsi="仿宋_GB2312" w:cs="仿宋_GB2312"/>
          <w:kern w:val="0"/>
          <w:szCs w:val="32"/>
        </w:rPr>
        <w:t>3.</w:t>
      </w:r>
      <w:r>
        <w:rPr>
          <w:rFonts w:hint="eastAsia" w:ascii="仿宋_GB2312" w:hAnsi="仿宋_GB2312" w:cs="仿宋_GB2312"/>
          <w:kern w:val="0"/>
          <w:szCs w:val="32"/>
        </w:rPr>
        <w:t>有可能影响空气洁净度的各项维修，竣工后应检测验证，符合洁净级别标准后，方可投入使用。</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（三）建筑装修设计与施工</w:t>
      </w:r>
      <w:r>
        <w:rPr>
          <w:rFonts w:hint="eastAsia" w:ascii="Times New Roman" w:hAnsi="Times New Roman" w:eastAsia="楷体_GB2312" w:cs="Times New Roman"/>
          <w:kern w:val="2"/>
          <w:sz w:val="32"/>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1.暖通系统设计与施工要求。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（1）根据药品性质分别设置不同的全空气定风量空调系统（即送回风系统与送排风系统）。</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1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①</w:t>
      </w:r>
      <w:r>
        <w:rPr>
          <w:rFonts w:hint="eastAsia" w:ascii="仿宋_GB2312" w:hAnsi="仿宋_GB2312" w:cs="仿宋_GB2312"/>
          <w:kern w:val="0"/>
          <w:szCs w:val="32"/>
        </w:rPr>
        <w:fldChar w:fldCharType="end"/>
      </w:r>
      <w:bookmarkStart w:id="11" w:name="_Hlk84862839"/>
      <w:r>
        <w:rPr>
          <w:rFonts w:hint="eastAsia" w:ascii="仿宋_GB2312" w:hAnsi="仿宋_GB2312" w:cs="仿宋_GB2312"/>
          <w:kern w:val="0"/>
          <w:szCs w:val="32"/>
        </w:rPr>
        <w:t>全空气定风量空调系统-混合式系统（即送回风系统）：是指空调系统的空气循环方式，</w:t>
      </w:r>
      <w:bookmarkStart w:id="12" w:name="_Hlk524550773"/>
      <w:r>
        <w:rPr>
          <w:rFonts w:hint="eastAsia" w:ascii="仿宋_GB2312" w:hAnsi="仿宋_GB2312" w:cs="仿宋_GB2312"/>
          <w:kern w:val="0"/>
          <w:szCs w:val="32"/>
        </w:rPr>
        <w:t>即空调处理器的空气由回风和不少于30%新风混合而成，混合空气送入洁净间后，</w:t>
      </w:r>
      <w:bookmarkEnd w:id="12"/>
      <w:r>
        <w:rPr>
          <w:rFonts w:hint="eastAsia" w:ascii="仿宋_GB2312" w:hAnsi="仿宋_GB2312" w:cs="仿宋_GB2312"/>
          <w:kern w:val="0"/>
          <w:szCs w:val="32"/>
        </w:rPr>
        <w:t>等量空气排至室外，一部分空气循环使用</w:t>
      </w:r>
      <w:bookmarkEnd w:id="11"/>
      <w:r>
        <w:rPr>
          <w:rFonts w:hint="eastAsia" w:ascii="仿宋_GB2312" w:hAnsi="仿宋_GB2312" w:cs="仿宋_GB2312"/>
          <w:kern w:val="0"/>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2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②</w:t>
      </w:r>
      <w:r>
        <w:rPr>
          <w:rFonts w:hint="eastAsia" w:ascii="仿宋_GB2312" w:hAnsi="仿宋_GB2312" w:cs="仿宋_GB2312"/>
          <w:kern w:val="0"/>
          <w:szCs w:val="32"/>
        </w:rPr>
        <w:fldChar w:fldCharType="end"/>
      </w:r>
      <w:r>
        <w:rPr>
          <w:rFonts w:hint="eastAsia" w:ascii="仿宋_GB2312" w:hAnsi="仿宋_GB2312" w:cs="仿宋_GB2312"/>
          <w:kern w:val="0"/>
          <w:szCs w:val="32"/>
        </w:rPr>
        <w:t>全空气定风量空调系统-全新风（直流式）系统（即送排风系统）：是指空调系统的空气循环方式，即空调处理器的空气为全新风，送入洁净间后全部排放到室外，没有回风管；</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3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③</w:t>
      </w:r>
      <w:r>
        <w:rPr>
          <w:rFonts w:hint="eastAsia" w:ascii="仿宋_GB2312" w:hAnsi="仿宋_GB2312" w:cs="仿宋_GB2312"/>
          <w:kern w:val="0"/>
          <w:szCs w:val="32"/>
        </w:rPr>
        <w:fldChar w:fldCharType="end"/>
      </w:r>
      <w:r>
        <w:rPr>
          <w:rFonts w:hint="eastAsia" w:ascii="仿宋_GB2312" w:hAnsi="仿宋_GB2312" w:cs="仿宋_GB2312"/>
          <w:kern w:val="0"/>
          <w:szCs w:val="32"/>
        </w:rPr>
        <w:t>电解质类等普通输液和肠外营养液调配操作间，与其相对应的一次更衣室、二次更衣室、洗衣洁具间为一套独立的混合式空调系统系统；</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4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④</w:t>
      </w:r>
      <w:r>
        <w:rPr>
          <w:rFonts w:hint="eastAsia" w:ascii="仿宋_GB2312" w:hAnsi="仿宋_GB2312" w:cs="仿宋_GB2312"/>
          <w:kern w:val="0"/>
          <w:szCs w:val="32"/>
        </w:rPr>
        <w:fldChar w:fldCharType="end"/>
      </w:r>
      <w:r>
        <w:rPr>
          <w:rFonts w:hint="eastAsia" w:ascii="仿宋_GB2312" w:hAnsi="仿宋_GB2312" w:cs="仿宋_GB2312"/>
          <w:kern w:val="0"/>
          <w:szCs w:val="32"/>
        </w:rPr>
        <w:t>抗生素和危害药品调配操作间，与其相对应的一次更衣室、二次更衣室、洗衣洁具间为一套独立的全新风（直流式）空调系统，但危害药品调配操作间应隔离成单独调配操作间。</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每个独立的洁净间都应有独立的排/回风口和排/回风管道，采用与送风管相同的材料制作，不得使用裸露的墙体夹层进行排/回风；不得将排/回风直接排入贴签摆药核对、成品输液核查等非洁净控制区内或墙体夹层内；洁净区送风与排/回风应采用顶层送，下侧排/回风模式。</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（3）室外排风口应置于采风口下方，其距离不得小于3米，或者将排风口与采风口设置于建筑物的不同侧面。</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（4）净化系统风管应当采用镀锌钢板，厚度根据相应标准要求执行，风管保温材料应符合消防要求。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（5）排风管道设备应安装防倒灌装置。</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（6）洁净间内高效送风口应符合洁净设计要求，保证合理的送风量与新风量，且每个送风口均应设置碟阀；电解质类等普通药品和肠外营养液调配操作间气流模式应科学合理、符合规定。</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2.给排水系统设计与施工要求。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（1）按要求设置洗手池、清洗池等清洁设施和上下水管道，各种水池设置位置应适宜，尺寸大小应以确保洗手或清洗物品时水不会溅到池外。</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（2）下水管应设置U型存水弯。</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 xml:space="preserve">（3）洁净区内洗手池、清洗池等清洁设施应选用陶瓷、SUS304不锈钢或OCr19Ni9及以上材质。 </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3.电气系统设计与施工要求。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（1）弱电系统。按照实际需要并考虑未来信息化、自动化发展需求布置相应的弱电系统。</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（2）强电系统。动力配电柜、插座配电箱、照明配电箱应当独立设置，以减少大型用电设备运行时电流冲击的干扰和便于检修。</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（3）照明系统。洁净区灯具应采用洁净灯具，按标准设计不低于300Lx。</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4.洁净区装修设计与施工要求。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（1）装修材料应当严格按照国家相关规定，符合环保、净化、防火等级要求，使用易清洁消毒、不落屑、接缝处密封好的材料。</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（2）吊顶、墙面和地面应平整光滑，接口严密，无脱落物和裂缝，能耐受清洗和消毒，吊顶、墙面与地面交界处应用净化圆角连接。</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（3）洁净区内窗户、技术夹层、进入室内管道、风口、灯具与墙壁或顶棚的连接部位均应密封，防止积尘和便于清洁。</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（4）洁净区应装置可击碎式安全玻璃的安全门，并配备安全锤。</w:t>
      </w:r>
    </w:p>
    <w:p>
      <w:pPr>
        <w:pStyle w:val="2"/>
      </w:pP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5.非洁净控制区装修设计与施工要求。</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（1）装修材料应当按照国家相关规定，符合环保、净化、防火等级要求，使用易清洁和消毒、不落屑、接缝处密封好的材料。</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（2）地面应平整光滑，接口严密，无脱落物和裂缝，能耐受清洗和消毒。</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（四）设施与设备</w:t>
      </w:r>
      <w:r>
        <w:rPr>
          <w:rFonts w:hint="eastAsia" w:ascii="Times New Roman" w:hAnsi="Times New Roman" w:eastAsia="楷体_GB2312" w:cs="Times New Roman"/>
          <w:kern w:val="2"/>
          <w:sz w:val="32"/>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1.应根据规模、任务、工作量以及当地空气质量和环境状况，建立具备通风、防潮、调温、洁净等功能的空调系统，并应当符合国家或者行业标准。</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2.洁净区设施与仪器设备。</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（1）调配操作间。</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1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①</w:t>
      </w:r>
      <w:r>
        <w:rPr>
          <w:rFonts w:hint="eastAsia" w:ascii="仿宋_GB2312" w:hAnsi="仿宋_GB2312" w:cs="仿宋_GB2312"/>
          <w:kern w:val="0"/>
          <w:szCs w:val="32"/>
        </w:rPr>
        <w:fldChar w:fldCharType="end"/>
      </w:r>
      <w:r>
        <w:rPr>
          <w:rFonts w:hint="eastAsia" w:ascii="仿宋_GB2312" w:hAnsi="仿宋_GB2312" w:cs="仿宋_GB2312"/>
          <w:kern w:val="0"/>
          <w:szCs w:val="32"/>
        </w:rPr>
        <w:t>配置水平层流洁净台，用于调配电解质类及其他普通输液和肠外营养液等成品输液，应当采用顶进风型、操作窗无前玻璃档板、无水龙头；</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2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②</w:t>
      </w:r>
      <w:r>
        <w:rPr>
          <w:rFonts w:hint="eastAsia" w:ascii="仿宋_GB2312" w:hAnsi="仿宋_GB2312" w:cs="仿宋_GB2312"/>
          <w:kern w:val="0"/>
          <w:szCs w:val="32"/>
        </w:rPr>
        <w:fldChar w:fldCharType="end"/>
      </w:r>
      <w:r>
        <w:rPr>
          <w:rFonts w:hint="eastAsia" w:ascii="仿宋_GB2312" w:hAnsi="仿宋_GB2312" w:cs="仿宋_GB2312"/>
          <w:kern w:val="0"/>
          <w:szCs w:val="32"/>
        </w:rPr>
        <w:t>配置生物安全柜，用于调配抗生素和危害药品等成品输液，应当选用Ⅱ级A2型；</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fldChar w:fldCharType="begin"/>
      </w:r>
      <w:r>
        <w:rPr>
          <w:rFonts w:hint="eastAsia" w:ascii="仿宋_GB2312" w:hAnsi="仿宋_GB2312" w:cs="仿宋_GB2312"/>
          <w:kern w:val="0"/>
          <w:szCs w:val="32"/>
        </w:rPr>
        <w:instrText xml:space="preserve"> = 3 \* GB3 </w:instrText>
      </w:r>
      <w:r>
        <w:rPr>
          <w:rFonts w:hint="eastAsia" w:ascii="仿宋_GB2312" w:hAnsi="仿宋_GB2312" w:cs="仿宋_GB2312"/>
          <w:kern w:val="0"/>
          <w:szCs w:val="32"/>
        </w:rPr>
        <w:fldChar w:fldCharType="separate"/>
      </w:r>
      <w:r>
        <w:rPr>
          <w:rFonts w:hint="eastAsia" w:ascii="仿宋_GB2312" w:hAnsi="仿宋_GB2312" w:cs="仿宋_GB2312"/>
          <w:kern w:val="0"/>
          <w:szCs w:val="32"/>
        </w:rPr>
        <w:t>③</w:t>
      </w:r>
      <w:r>
        <w:rPr>
          <w:rFonts w:hint="eastAsia" w:ascii="仿宋_GB2312" w:hAnsi="仿宋_GB2312" w:cs="仿宋_GB2312"/>
          <w:kern w:val="0"/>
          <w:szCs w:val="32"/>
        </w:rPr>
        <w:fldChar w:fldCharType="end"/>
      </w:r>
      <w:r>
        <w:rPr>
          <w:rFonts w:hint="eastAsia" w:ascii="仿宋_GB2312" w:hAnsi="仿宋_GB2312" w:cs="仿宋_GB2312"/>
          <w:kern w:val="0"/>
          <w:szCs w:val="32"/>
        </w:rPr>
        <w:t>其它设备及材质要求：药架、推车、座椅等材质应选用光洁平整、不落屑、不产尘、接缝处密封好、易清洁与消毒、耐腐蚀的不锈钢材质，</w:t>
      </w:r>
      <w:bookmarkStart w:id="13" w:name="_Hlk525816933"/>
      <w:r>
        <w:rPr>
          <w:rFonts w:hint="eastAsia" w:ascii="仿宋_GB2312" w:hAnsi="仿宋_GB2312" w:cs="仿宋_GB2312"/>
          <w:kern w:val="0"/>
          <w:szCs w:val="32"/>
        </w:rPr>
        <w:t>推荐选用SUS304不锈钢材质。</w:t>
      </w:r>
    </w:p>
    <w:bookmarkEnd w:id="13"/>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（2）一次更衣室应配备鞋柜（架）、洗手池、洗手清洁剂、干手设备及洗手消毒液等。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（3）二次更衣室应配备更衣柜（挂衣钩）、一次性无菌物品等。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（4）洗衣洁具间应配备清洁消毒配套用品和设备。</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3.非洁净控制区设施与仪器设备。</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（1）用药医嘱审核与输液标签打印区应配备计算机、打印机、电话机、条形码扫描设备以及安装与医疗机构HIS系统联网、具有用药医嘱审核系统软件等。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（2）摆药贴签核对区应配备相应药架、工作台、医用冷藏柜、摆药筐、摆药车、温湿度计等。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（3）成品输液核查包装区应配备成品输液核对检查设备与包装工作台等。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（4）药架、药车、工作台应当选用光洁平整、不落屑、不产尘、接缝处密封好、易清洁与消毒、不易腐蚀的材质，推荐选用SUS304不锈钢。</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4.辅助工作区设备。</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（1）药品库应配备药架、医用冷藏柜及收发药品专用车等。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（2）综合性会议示教休息室应配备有计算机、投影设备、桌椅等。</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5.室内应设置有防鼠、防虫的设施。</w:t>
      </w:r>
    </w:p>
    <w:p>
      <w:pPr>
        <w:pStyle w:val="5"/>
        <w:widowControl w:val="0"/>
        <w:adjustRightInd w:val="0"/>
        <w:snapToGrid w:val="0"/>
        <w:spacing w:before="0" w:beforeAutospacing="0" w:after="0" w:afterAutospacing="0" w:line="600" w:lineRule="exact"/>
        <w:ind w:firstLine="640" w:firstLineChars="200"/>
        <w:jc w:val="both"/>
        <w:rPr>
          <w:rFonts w:ascii="Times New Roman" w:hAnsi="Times New Roman" w:eastAsia="楷体_GB2312" w:cs="Times New Roman"/>
          <w:kern w:val="2"/>
          <w:sz w:val="32"/>
          <w:szCs w:val="32"/>
        </w:rPr>
      </w:pPr>
      <w:r>
        <w:rPr>
          <w:rFonts w:ascii="Times New Roman" w:hAnsi="Times New Roman" w:eastAsia="楷体_GB2312" w:cs="Times New Roman"/>
          <w:kern w:val="2"/>
          <w:sz w:val="32"/>
          <w:szCs w:val="32"/>
        </w:rPr>
        <w:t>（五）工程验收与洁净环境监测</w:t>
      </w:r>
      <w:r>
        <w:rPr>
          <w:rFonts w:hint="eastAsia" w:ascii="Times New Roman" w:hAnsi="Times New Roman" w:eastAsia="楷体_GB2312" w:cs="Times New Roman"/>
          <w:kern w:val="2"/>
          <w:sz w:val="32"/>
          <w:szCs w:val="32"/>
        </w:rPr>
        <w:t>。</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 xml:space="preserve">1.静配中心建筑装修和仪器设备安装竣工后，按照本指南进行工程验收，并经法定单位检测环境合格。 </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2.运行使用后，日常监测可以由省级静脉用药集中调配管理专业组推荐具备检测条件的检测单位或有检测能力且管理规范的静配中心承担。</w:t>
      </w:r>
    </w:p>
    <w:p>
      <w:pPr>
        <w:adjustRightInd w:val="0"/>
        <w:snapToGrid w:val="0"/>
        <w:spacing w:line="600" w:lineRule="exact"/>
        <w:ind w:firstLine="640" w:firstLineChars="200"/>
        <w:rPr>
          <w:rFonts w:ascii="仿宋_GB2312" w:hAnsi="仿宋_GB2312" w:cs="仿宋_GB2312"/>
          <w:kern w:val="0"/>
          <w:szCs w:val="32"/>
        </w:rPr>
      </w:pPr>
      <w:r>
        <w:rPr>
          <w:rFonts w:hint="eastAsia" w:ascii="仿宋_GB2312" w:hAnsi="仿宋_GB2312" w:cs="仿宋_GB2312"/>
          <w:kern w:val="0"/>
          <w:szCs w:val="32"/>
        </w:rPr>
        <w:t>3.洁净区环境监测项目以及参数标准，见附表。</w:t>
      </w:r>
    </w:p>
    <w:p>
      <w:pPr>
        <w:widowControl/>
        <w:jc w:val="left"/>
      </w:pPr>
      <w:r>
        <w:br w:type="page"/>
      </w:r>
    </w:p>
    <w:p>
      <w:pPr>
        <w:pStyle w:val="3"/>
        <w:spacing w:line="360" w:lineRule="auto"/>
        <w:jc w:val="left"/>
        <w:rPr>
          <w:rFonts w:ascii="黑体" w:hAnsi="黑体" w:eastAsia="黑体" w:cs="仿宋"/>
          <w:color w:val="000000" w:themeColor="text1"/>
          <w14:textFill>
            <w14:solidFill>
              <w14:schemeClr w14:val="tx1"/>
            </w14:solidFill>
          </w14:textFill>
        </w:rPr>
      </w:pPr>
      <w:bookmarkStart w:id="14" w:name="_Toc515605646"/>
      <w:r>
        <w:rPr>
          <w:rFonts w:hint="eastAsia" w:ascii="黑体" w:hAnsi="黑体" w:eastAsia="黑体" w:cs="仿宋"/>
          <w:color w:val="000000" w:themeColor="text1"/>
          <w14:textFill>
            <w14:solidFill>
              <w14:schemeClr w14:val="tx1"/>
            </w14:solidFill>
          </w14:textFill>
        </w:rPr>
        <w:t>附件</w:t>
      </w:r>
      <w:r>
        <w:rPr>
          <w:rFonts w:ascii="黑体" w:hAnsi="黑体" w:eastAsia="黑体" w:cs="仿宋"/>
          <w:color w:val="000000" w:themeColor="text1"/>
          <w14:textFill>
            <w14:solidFill>
              <w14:schemeClr w14:val="tx1"/>
            </w14:solidFill>
          </w14:textFill>
        </w:rPr>
        <w:t>1</w:t>
      </w:r>
      <w:r>
        <w:rPr>
          <w:rFonts w:hint="eastAsia" w:ascii="黑体" w:hAnsi="黑体" w:eastAsia="黑体" w:cs="仿宋"/>
          <w:color w:val="000000" w:themeColor="text1"/>
          <w14:textFill>
            <w14:solidFill>
              <w14:schemeClr w14:val="tx1"/>
            </w14:solidFill>
          </w14:textFill>
        </w:rPr>
        <w:t>附表</w:t>
      </w:r>
    </w:p>
    <w:p>
      <w:pPr>
        <w:pStyle w:val="3"/>
        <w:spacing w:line="360" w:lineRule="auto"/>
        <w:jc w:val="center"/>
        <w:rPr>
          <w:rFonts w:ascii="仿宋_GB2312" w:eastAsia="仿宋_GB2312" w:cs="仿宋"/>
          <w:color w:val="000000" w:themeColor="text1"/>
          <w:sz w:val="28"/>
          <w:szCs w:val="28"/>
          <w14:textFill>
            <w14:solidFill>
              <w14:schemeClr w14:val="tx1"/>
            </w14:solidFill>
          </w14:textFill>
        </w:rPr>
      </w:pPr>
      <w:r>
        <w:rPr>
          <w:rFonts w:hint="eastAsia" w:ascii="仿宋_GB2312" w:eastAsia="仿宋_GB2312" w:cs="仿宋"/>
          <w:color w:val="000000" w:themeColor="text1"/>
          <w:sz w:val="28"/>
          <w:szCs w:val="28"/>
          <w14:textFill>
            <w14:solidFill>
              <w14:schemeClr w14:val="tx1"/>
            </w14:solidFill>
          </w14:textFill>
        </w:rPr>
        <w:t>附表  静脉用药调配中心洁净环境检测指标及标准（静态）</w:t>
      </w:r>
    </w:p>
    <w:tbl>
      <w:tblPr>
        <w:tblStyle w:val="6"/>
        <w:tblW w:w="8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3"/>
        <w:gridCol w:w="1844"/>
        <w:gridCol w:w="1589"/>
        <w:gridCol w:w="1560"/>
        <w:gridCol w:w="1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8"/>
                <w:szCs w:val="28"/>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洁净级别</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一次更衣室</w:t>
            </w:r>
          </w:p>
        </w:tc>
        <w:tc>
          <w:tcPr>
            <w:tcW w:w="15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洗衣洁具间</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二次更衣室</w:t>
            </w: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调配操作间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仿宋" w:cs="仿宋"/>
                <w:b/>
                <w:color w:val="000000" w:themeColor="text1"/>
                <w:sz w:val="28"/>
                <w:szCs w:val="28"/>
                <w14:textFill>
                  <w14:solidFill>
                    <w14:schemeClr w14:val="tx1"/>
                  </w14:solidFill>
                </w14:textFill>
              </w:rPr>
            </w:pPr>
          </w:p>
        </w:tc>
        <w:tc>
          <w:tcPr>
            <w:tcW w:w="34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D(100000)级</w:t>
            </w:r>
          </w:p>
        </w:tc>
        <w:tc>
          <w:tcPr>
            <w:tcW w:w="3232"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C(10000)级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尘埃粒子</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≥0.5μm/</w:t>
            </w:r>
          </w:p>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立方米</w:t>
            </w:r>
          </w:p>
        </w:tc>
        <w:tc>
          <w:tcPr>
            <w:tcW w:w="15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≥5μm/</w:t>
            </w:r>
          </w:p>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立方米</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≥0.5μm/</w:t>
            </w:r>
          </w:p>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立方米</w:t>
            </w: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≥5μm/</w:t>
            </w:r>
          </w:p>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立方米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仿宋" w:cs="仿宋"/>
                <w:b/>
                <w:color w:val="000000" w:themeColor="text1"/>
                <w:sz w:val="24"/>
                <w14:textFill>
                  <w14:solidFill>
                    <w14:schemeClr w14:val="tx1"/>
                  </w14:solidFill>
                </w14:textFill>
              </w:rPr>
            </w:pP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≤3500000</w:t>
            </w:r>
          </w:p>
        </w:tc>
        <w:tc>
          <w:tcPr>
            <w:tcW w:w="15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≤20000</w:t>
            </w:r>
          </w:p>
        </w:tc>
        <w:tc>
          <w:tcPr>
            <w:tcW w:w="155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≤350000</w:t>
            </w: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细菌测试</w:t>
            </w:r>
          </w:p>
        </w:tc>
        <w:tc>
          <w:tcPr>
            <w:tcW w:w="34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沉降菌</w:t>
            </w:r>
          </w:p>
        </w:tc>
        <w:tc>
          <w:tcPr>
            <w:tcW w:w="3232"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沉降菌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仿宋" w:cs="仿宋"/>
                <w:b/>
                <w:color w:val="000000" w:themeColor="text1"/>
                <w:sz w:val="24"/>
                <w14:textFill>
                  <w14:solidFill>
                    <w14:schemeClr w14:val="tx1"/>
                  </w14:solidFill>
                </w14:textFill>
              </w:rPr>
            </w:pPr>
          </w:p>
        </w:tc>
        <w:tc>
          <w:tcPr>
            <w:tcW w:w="34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≤10cfu/皿.0.5h</w:t>
            </w:r>
          </w:p>
        </w:tc>
        <w:tc>
          <w:tcPr>
            <w:tcW w:w="3232"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≤3/cfu/皿.0.5h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换气次数</w:t>
            </w:r>
          </w:p>
        </w:tc>
        <w:tc>
          <w:tcPr>
            <w:tcW w:w="3431"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≥15次/小时</w:t>
            </w:r>
          </w:p>
        </w:tc>
        <w:tc>
          <w:tcPr>
            <w:tcW w:w="3232"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≥25次/小时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7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静压差</w:t>
            </w:r>
          </w:p>
        </w:tc>
        <w:tc>
          <w:tcPr>
            <w:tcW w:w="666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非洁净控制区＜一次更衣室＜二次更衣室＜电解质类等普通输液和肠外营养液调配操作间</w:t>
            </w:r>
          </w:p>
          <w:p>
            <w:pPr>
              <w:spacing w:line="360" w:lineRule="auto"/>
              <w:jc w:val="left"/>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非洁净控制区＜一次更衣室＜二次更衣室＞抗生素和危害药品调配操作间</w:t>
            </w:r>
          </w:p>
          <w:p>
            <w:pPr>
              <w:spacing w:line="360" w:lineRule="auto"/>
              <w:jc w:val="left"/>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（洁净区相邻区域压差5～10Pa，一次更衣室与非洁净控制区之间压差≥10Pa）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温度</w:t>
            </w:r>
          </w:p>
        </w:tc>
        <w:tc>
          <w:tcPr>
            <w:tcW w:w="666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18℃～26℃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相对湿度</w:t>
            </w:r>
          </w:p>
        </w:tc>
        <w:tc>
          <w:tcPr>
            <w:tcW w:w="666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环境噪音</w:t>
            </w:r>
          </w:p>
        </w:tc>
        <w:tc>
          <w:tcPr>
            <w:tcW w:w="666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≤60dB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设备噪音</w:t>
            </w:r>
          </w:p>
        </w:tc>
        <w:tc>
          <w:tcPr>
            <w:tcW w:w="666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生物安全柜≤67dB    水平层流洁净台≤65dB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工作区域亮度</w:t>
            </w:r>
          </w:p>
        </w:tc>
        <w:tc>
          <w:tcPr>
            <w:tcW w:w="666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≥300 Lx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抗生素调配间排风量</w:t>
            </w:r>
          </w:p>
        </w:tc>
        <w:tc>
          <w:tcPr>
            <w:tcW w:w="666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根据抗生素间的设计规模确定</w:t>
            </w:r>
          </w:p>
        </w:tc>
      </w:tr>
    </w:tbl>
    <w:p>
      <w:pPr>
        <w:widowControl/>
        <w:spacing w:line="360" w:lineRule="auto"/>
        <w:jc w:val="left"/>
        <w:rPr>
          <w:rFonts w:ascii="仿宋" w:hAnsi="仿宋" w:eastAsia="仿宋" w:cs="仿宋"/>
          <w:color w:val="000000" w:themeColor="text1"/>
          <w:sz w:val="28"/>
          <w:szCs w:val="28"/>
          <w14:textFill>
            <w14:solidFill>
              <w14:schemeClr w14:val="tx1"/>
            </w14:solidFill>
          </w14:textFill>
        </w:rPr>
      </w:pPr>
    </w:p>
    <w:p>
      <w:pPr>
        <w:pStyle w:val="3"/>
        <w:spacing w:line="360" w:lineRule="auto"/>
        <w:jc w:val="center"/>
        <w:rPr>
          <w:rFonts w:ascii="仿宋_GB2312" w:eastAsia="仿宋_GB2312" w:cs="仿宋"/>
          <w:color w:val="000000" w:themeColor="text1"/>
          <w:sz w:val="28"/>
          <w:szCs w:val="28"/>
          <w14:textFill>
            <w14:solidFill>
              <w14:schemeClr w14:val="tx1"/>
            </w14:solidFill>
          </w14:textFill>
        </w:rPr>
      </w:pPr>
      <w:r>
        <w:rPr>
          <w:rFonts w:hint="eastAsia" w:ascii="仿宋_GB2312" w:eastAsia="仿宋_GB2312" w:cs="仿宋"/>
          <w:color w:val="000000" w:themeColor="text1"/>
          <w:sz w:val="28"/>
          <w:szCs w:val="28"/>
          <w14:textFill>
            <w14:solidFill>
              <w14:schemeClr w14:val="tx1"/>
            </w14:solidFill>
          </w14:textFill>
        </w:rPr>
        <w:t>附表2  最少采样点数目标准</w:t>
      </w:r>
    </w:p>
    <w:tbl>
      <w:tblPr>
        <w:tblStyle w:val="6"/>
        <w:tblW w:w="75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433"/>
        <w:gridCol w:w="1669"/>
        <w:gridCol w:w="1700"/>
        <w:gridCol w:w="17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436" w:type="dxa"/>
            <w:vMerge w:val="restart"/>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面积（m</w:t>
            </w:r>
            <w:r>
              <w:rPr>
                <w:rFonts w:hint="eastAsia" w:ascii="仿宋_GB2312" w:hAnsi="仿宋" w:cs="仿宋"/>
                <w:b/>
                <w:color w:val="000000" w:themeColor="text1"/>
                <w:sz w:val="24"/>
                <w:vertAlign w:val="superscript"/>
                <w14:textFill>
                  <w14:solidFill>
                    <w14:schemeClr w14:val="tx1"/>
                  </w14:solidFill>
                </w14:textFill>
              </w:rPr>
              <w:t>2</w:t>
            </w:r>
            <w:r>
              <w:rPr>
                <w:rFonts w:hint="eastAsia" w:ascii="仿宋_GB2312" w:hAnsi="仿宋" w:cs="仿宋"/>
                <w:b/>
                <w:color w:val="000000" w:themeColor="text1"/>
                <w:sz w:val="24"/>
                <w14:textFill>
                  <w14:solidFill>
                    <w14:schemeClr w14:val="tx1"/>
                  </w14:solidFill>
                </w14:textFill>
              </w:rPr>
              <w:t>）</w:t>
            </w:r>
          </w:p>
        </w:tc>
        <w:tc>
          <w:tcPr>
            <w:tcW w:w="5160" w:type="dxa"/>
            <w:gridSpan w:val="3"/>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洁净度级别/采样点数目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436"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仿宋" w:cs="仿宋"/>
                <w:b/>
                <w:color w:val="000000" w:themeColor="text1"/>
                <w:sz w:val="24"/>
                <w14:textFill>
                  <w14:solidFill>
                    <w14:schemeClr w14:val="tx1"/>
                  </w14:solidFill>
                </w14:textFill>
              </w:rPr>
            </w:pPr>
          </w:p>
        </w:tc>
        <w:tc>
          <w:tcPr>
            <w:tcW w:w="167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A(100)级</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C(10000)级</w:t>
            </w:r>
          </w:p>
        </w:tc>
        <w:tc>
          <w:tcPr>
            <w:tcW w:w="178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D(100000)级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43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&lt;10</w:t>
            </w:r>
          </w:p>
        </w:tc>
        <w:tc>
          <w:tcPr>
            <w:tcW w:w="167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2～3</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w:t>
            </w:r>
          </w:p>
        </w:tc>
        <w:tc>
          <w:tcPr>
            <w:tcW w:w="178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43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≥10～&lt;20</w:t>
            </w:r>
          </w:p>
        </w:tc>
        <w:tc>
          <w:tcPr>
            <w:tcW w:w="167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4</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w:t>
            </w:r>
          </w:p>
        </w:tc>
        <w:tc>
          <w:tcPr>
            <w:tcW w:w="178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43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≥20～&lt;40</w:t>
            </w:r>
          </w:p>
        </w:tc>
        <w:tc>
          <w:tcPr>
            <w:tcW w:w="167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8</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w:t>
            </w:r>
          </w:p>
        </w:tc>
        <w:tc>
          <w:tcPr>
            <w:tcW w:w="178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43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≥40～&lt;100</w:t>
            </w:r>
          </w:p>
        </w:tc>
        <w:tc>
          <w:tcPr>
            <w:tcW w:w="167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16</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4</w:t>
            </w:r>
          </w:p>
        </w:tc>
        <w:tc>
          <w:tcPr>
            <w:tcW w:w="178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43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≥100～&lt;200</w:t>
            </w:r>
          </w:p>
        </w:tc>
        <w:tc>
          <w:tcPr>
            <w:tcW w:w="167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40</w:t>
            </w:r>
          </w:p>
        </w:tc>
        <w:tc>
          <w:tcPr>
            <w:tcW w:w="170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10</w:t>
            </w:r>
          </w:p>
        </w:tc>
        <w:tc>
          <w:tcPr>
            <w:tcW w:w="178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w:t>
            </w:r>
          </w:p>
        </w:tc>
      </w:tr>
    </w:tbl>
    <w:p>
      <w:pPr>
        <w:pStyle w:val="13"/>
        <w:numPr>
          <w:ilvl w:val="0"/>
          <w:numId w:val="0"/>
        </w:numPr>
        <w:spacing w:before="156" w:after="156" w:line="360" w:lineRule="auto"/>
        <w:ind w:left="710"/>
        <w:rPr>
          <w:rFonts w:ascii="仿宋_GB2312" w:hAnsi="仿宋" w:eastAsia="仿宋_GB2312" w:cs="仿宋"/>
          <w:color w:val="000000" w:themeColor="text1"/>
          <w:sz w:val="24"/>
          <w:szCs w:val="24"/>
          <w14:textFill>
            <w14:solidFill>
              <w14:schemeClr w14:val="tx1"/>
            </w14:solidFill>
          </w14:textFill>
        </w:rPr>
      </w:pPr>
      <w:r>
        <w:rPr>
          <w:rFonts w:hint="eastAsia" w:ascii="仿宋_GB2312" w:hAnsi="仿宋" w:eastAsia="仿宋_GB2312" w:cs="仿宋"/>
          <w:bCs/>
          <w:color w:val="000000" w:themeColor="text1"/>
          <w:sz w:val="24"/>
          <w:szCs w:val="24"/>
          <w14:textFill>
            <w14:solidFill>
              <w14:schemeClr w14:val="tx1"/>
            </w14:solidFill>
          </w14:textFill>
        </w:rPr>
        <w:t>注：</w:t>
      </w:r>
      <w:r>
        <w:rPr>
          <w:rFonts w:hint="eastAsia" w:ascii="仿宋_GB2312" w:hAnsi="仿宋" w:eastAsia="仿宋_GB2312" w:cs="仿宋"/>
          <w:color w:val="000000" w:themeColor="text1"/>
          <w:sz w:val="24"/>
          <w:szCs w:val="24"/>
          <w14:textFill>
            <w14:solidFill>
              <w14:schemeClr w14:val="tx1"/>
            </w14:solidFill>
          </w14:textFill>
        </w:rPr>
        <w:t>对于A(100)级的单向流洁净室/区，包括A(100)级洁净工作台，其面积指的是送风覆盖面积；对于C(10000)级以上的非单向流洁净间/区，其面积指的是房间面积；C(10000)级为二次更衣室。</w:t>
      </w:r>
    </w:p>
    <w:p>
      <w:pPr>
        <w:pStyle w:val="3"/>
        <w:spacing w:line="360" w:lineRule="auto"/>
        <w:jc w:val="center"/>
        <w:rPr>
          <w:rFonts w:ascii="仿宋_GB2312" w:eastAsia="仿宋_GB2312" w:cs="仿宋"/>
          <w:color w:val="000000" w:themeColor="text1"/>
          <w:sz w:val="28"/>
          <w:szCs w:val="28"/>
          <w14:textFill>
            <w14:solidFill>
              <w14:schemeClr w14:val="tx1"/>
            </w14:solidFill>
          </w14:textFill>
        </w:rPr>
      </w:pPr>
      <w:r>
        <w:rPr>
          <w:rFonts w:hint="eastAsia" w:ascii="仿宋_GB2312" w:eastAsia="仿宋_GB2312" w:cs="仿宋"/>
          <w:color w:val="000000" w:themeColor="text1"/>
          <w:sz w:val="28"/>
          <w:szCs w:val="28"/>
          <w14:textFill>
            <w14:solidFill>
              <w14:schemeClr w14:val="tx1"/>
            </w14:solidFill>
          </w14:textFill>
        </w:rPr>
        <w:t>附表3  最少培养基平皿数</w:t>
      </w:r>
    </w:p>
    <w:tbl>
      <w:tblPr>
        <w:tblStyle w:val="6"/>
        <w:tblW w:w="7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8"/>
        <w:gridCol w:w="3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7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洁净度级别</w:t>
            </w:r>
          </w:p>
        </w:tc>
        <w:tc>
          <w:tcPr>
            <w:tcW w:w="387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最少培养皿数（φ90mm）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7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A(100)级</w:t>
            </w:r>
          </w:p>
        </w:tc>
        <w:tc>
          <w:tcPr>
            <w:tcW w:w="387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Cs/>
                <w:color w:val="000000" w:themeColor="text1"/>
                <w:sz w:val="24"/>
                <w14:textFill>
                  <w14:solidFill>
                    <w14:schemeClr w14:val="tx1"/>
                  </w14:solidFill>
                </w14:textFill>
              </w:rPr>
            </w:pPr>
            <w:r>
              <w:rPr>
                <w:rFonts w:hint="eastAsia" w:ascii="仿宋_GB2312" w:hAnsi="仿宋" w:cs="仿宋"/>
                <w:bCs/>
                <w:color w:val="000000" w:themeColor="text1"/>
                <w:sz w:val="24"/>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7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C(10000)级</w:t>
            </w:r>
          </w:p>
        </w:tc>
        <w:tc>
          <w:tcPr>
            <w:tcW w:w="387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Cs/>
                <w:color w:val="000000" w:themeColor="text1"/>
                <w:sz w:val="24"/>
                <w14:textFill>
                  <w14:solidFill>
                    <w14:schemeClr w14:val="tx1"/>
                  </w14:solidFill>
                </w14:textFill>
              </w:rPr>
            </w:pPr>
            <w:r>
              <w:rPr>
                <w:rFonts w:hint="eastAsia" w:ascii="仿宋_GB2312" w:hAnsi="仿宋" w:cs="仿宋"/>
                <w:bCs/>
                <w:color w:val="000000" w:themeColor="text1"/>
                <w:sz w:val="24"/>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7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D(100000)级</w:t>
            </w:r>
          </w:p>
        </w:tc>
        <w:tc>
          <w:tcPr>
            <w:tcW w:w="387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Cs/>
                <w:color w:val="000000" w:themeColor="text1"/>
                <w:sz w:val="24"/>
                <w14:textFill>
                  <w14:solidFill>
                    <w14:schemeClr w14:val="tx1"/>
                  </w14:solidFill>
                </w14:textFill>
              </w:rPr>
            </w:pPr>
            <w:r>
              <w:rPr>
                <w:rFonts w:hint="eastAsia" w:ascii="仿宋_GB2312" w:hAnsi="仿宋" w:cs="仿宋"/>
                <w:bCs/>
                <w:color w:val="000000" w:themeColor="text1"/>
                <w:sz w:val="24"/>
                <w14:textFill>
                  <w14:solidFill>
                    <w14:schemeClr w14:val="tx1"/>
                  </w14:solidFill>
                </w14:textFill>
              </w:rPr>
              <w:t>3</w:t>
            </w:r>
          </w:p>
        </w:tc>
      </w:tr>
    </w:tbl>
    <w:p>
      <w:pPr>
        <w:spacing w:line="360" w:lineRule="auto"/>
        <w:ind w:firstLine="450"/>
        <w:jc w:val="center"/>
        <w:rPr>
          <w:rFonts w:ascii="仿宋_GB2312" w:hAnsi="仿宋" w:cs="仿宋"/>
          <w:color w:val="000000" w:themeColor="text1"/>
          <w:sz w:val="28"/>
          <w:szCs w:val="28"/>
          <w14:textFill>
            <w14:solidFill>
              <w14:schemeClr w14:val="tx1"/>
            </w14:solidFill>
          </w14:textFill>
        </w:rPr>
      </w:pPr>
    </w:p>
    <w:p>
      <w:pPr>
        <w:pStyle w:val="3"/>
        <w:spacing w:line="360" w:lineRule="auto"/>
        <w:jc w:val="center"/>
        <w:rPr>
          <w:rFonts w:ascii="仿宋_GB2312" w:eastAsia="仿宋_GB2312" w:cs="仿宋"/>
          <w:color w:val="000000" w:themeColor="text1"/>
          <w:sz w:val="28"/>
          <w:szCs w:val="28"/>
          <w14:textFill>
            <w14:solidFill>
              <w14:schemeClr w14:val="tx1"/>
            </w14:solidFill>
          </w14:textFill>
        </w:rPr>
      </w:pPr>
      <w:r>
        <w:rPr>
          <w:rFonts w:hint="eastAsia" w:ascii="仿宋_GB2312" w:eastAsia="仿宋_GB2312" w:cs="仿宋"/>
          <w:color w:val="000000" w:themeColor="text1"/>
          <w:sz w:val="28"/>
          <w:szCs w:val="28"/>
          <w14:textFill>
            <w14:solidFill>
              <w14:schemeClr w14:val="tx1"/>
            </w14:solidFill>
          </w14:textFill>
        </w:rPr>
        <w:t>附表4  洁净区沉降菌菌落数规定（静态）</w:t>
      </w:r>
    </w:p>
    <w:tbl>
      <w:tblPr>
        <w:tblStyle w:val="6"/>
        <w:tblW w:w="819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77"/>
        <w:gridCol w:w="39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7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洁净度级别</w:t>
            </w:r>
          </w:p>
        </w:tc>
        <w:tc>
          <w:tcPr>
            <w:tcW w:w="3913"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沉降菌菌落数/皿  放置0.5h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7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A(100)级</w:t>
            </w:r>
          </w:p>
        </w:tc>
        <w:tc>
          <w:tcPr>
            <w:tcW w:w="3913"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Cs/>
                <w:color w:val="000000" w:themeColor="text1"/>
                <w:sz w:val="24"/>
                <w14:textFill>
                  <w14:solidFill>
                    <w14:schemeClr w14:val="tx1"/>
                  </w14:solidFill>
                </w14:textFill>
              </w:rPr>
            </w:pPr>
            <w:r>
              <w:rPr>
                <w:rFonts w:hint="eastAsia" w:ascii="仿宋_GB2312" w:hAnsi="仿宋" w:cs="仿宋"/>
                <w:bCs/>
                <w:color w:val="000000" w:themeColor="text1"/>
                <w:sz w:val="24"/>
                <w14:textFill>
                  <w14:solidFill>
                    <w14:schemeClr w14:val="tx1"/>
                  </w14:solidFill>
                </w14:textFill>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7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C(10000)级</w:t>
            </w:r>
          </w:p>
        </w:tc>
        <w:tc>
          <w:tcPr>
            <w:tcW w:w="3913"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Cs/>
                <w:color w:val="000000" w:themeColor="text1"/>
                <w:sz w:val="24"/>
                <w14:textFill>
                  <w14:solidFill>
                    <w14:schemeClr w14:val="tx1"/>
                  </w14:solidFill>
                </w14:textFill>
              </w:rPr>
            </w:pPr>
            <w:r>
              <w:rPr>
                <w:rFonts w:hint="eastAsia" w:ascii="仿宋_GB2312" w:hAnsi="仿宋" w:cs="仿宋"/>
                <w:bCs/>
                <w:color w:val="000000" w:themeColor="text1"/>
                <w:sz w:val="24"/>
                <w14:textFill>
                  <w14:solidFill>
                    <w14:schemeClr w14:val="tx1"/>
                  </w14:solidFill>
                </w14:textFill>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4276"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D(100000)级</w:t>
            </w:r>
          </w:p>
        </w:tc>
        <w:tc>
          <w:tcPr>
            <w:tcW w:w="3913"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Cs/>
                <w:color w:val="000000" w:themeColor="text1"/>
                <w:sz w:val="24"/>
                <w14:textFill>
                  <w14:solidFill>
                    <w14:schemeClr w14:val="tx1"/>
                  </w14:solidFill>
                </w14:textFill>
              </w:rPr>
            </w:pPr>
            <w:r>
              <w:rPr>
                <w:rFonts w:hint="eastAsia" w:ascii="仿宋_GB2312" w:hAnsi="仿宋" w:cs="仿宋"/>
                <w:bCs/>
                <w:color w:val="000000" w:themeColor="text1"/>
                <w:sz w:val="24"/>
                <w14:textFill>
                  <w14:solidFill>
                    <w14:schemeClr w14:val="tx1"/>
                  </w14:solidFill>
                </w14:textFill>
              </w:rPr>
              <w:t>≤10</w:t>
            </w:r>
          </w:p>
        </w:tc>
      </w:tr>
    </w:tbl>
    <w:p>
      <w:pPr>
        <w:pStyle w:val="3"/>
        <w:spacing w:line="360" w:lineRule="auto"/>
        <w:jc w:val="center"/>
        <w:rPr>
          <w:rFonts w:ascii="仿宋_GB2312" w:eastAsia="仿宋_GB2312" w:cs="仿宋"/>
          <w:color w:val="000000" w:themeColor="text1"/>
          <w:sz w:val="28"/>
          <w:szCs w:val="28"/>
          <w14:textFill>
            <w14:solidFill>
              <w14:schemeClr w14:val="tx1"/>
            </w14:solidFill>
          </w14:textFill>
        </w:rPr>
      </w:pPr>
      <w:r>
        <w:rPr>
          <w:rFonts w:hint="eastAsia" w:ascii="仿宋_GB2312" w:eastAsia="仿宋_GB2312" w:cs="仿宋"/>
          <w:color w:val="000000" w:themeColor="text1"/>
          <w:sz w:val="28"/>
          <w:szCs w:val="28"/>
          <w14:textFill>
            <w14:solidFill>
              <w14:schemeClr w14:val="tx1"/>
            </w14:solidFill>
          </w14:textFill>
        </w:rPr>
        <w:t>附表5  洁净区空气悬浮粒子最小采样量</w:t>
      </w:r>
    </w:p>
    <w:tbl>
      <w:tblPr>
        <w:tblStyle w:val="6"/>
        <w:tblW w:w="85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27"/>
        <w:gridCol w:w="1983"/>
        <w:gridCol w:w="2064"/>
        <w:gridCol w:w="20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2" w:hRule="atLeast"/>
          <w:jc w:val="center"/>
        </w:trPr>
        <w:tc>
          <w:tcPr>
            <w:tcW w:w="2529" w:type="dxa"/>
            <w:tcBorders>
              <w:top w:val="single" w:color="000000" w:sz="4" w:space="0"/>
              <w:left w:val="single" w:color="000000" w:sz="4" w:space="0"/>
              <w:bottom w:val="single" w:color="000000" w:sz="4" w:space="0"/>
              <w:right w:val="single" w:color="000000" w:sz="4" w:space="0"/>
            </w:tcBorders>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-77470</wp:posOffset>
                      </wp:positionH>
                      <wp:positionV relativeFrom="paragraph">
                        <wp:posOffset>39370</wp:posOffset>
                      </wp:positionV>
                      <wp:extent cx="1590675" cy="617220"/>
                      <wp:effectExtent l="1905" t="4445" r="7620" b="6985"/>
                      <wp:wrapNone/>
                      <wp:docPr id="1" name="自选图形 6"/>
                      <wp:cNvGraphicFramePr/>
                      <a:graphic xmlns:a="http://schemas.openxmlformats.org/drawingml/2006/main">
                        <a:graphicData uri="http://schemas.microsoft.com/office/word/2010/wordprocessingShape">
                          <wps:wsp>
                            <wps:cNvCnPr/>
                            <wps:spPr>
                              <a:xfrm>
                                <a:off x="0" y="0"/>
                                <a:ext cx="1590675" cy="6172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margin-left:-6.1pt;margin-top:3.1pt;height:48.6pt;width:125.25pt;z-index:251660288;mso-width-relative:page;mso-height-relative:page;" filled="f" stroked="t" coordsize="21600,21600" o:gfxdata="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A7XXmnXAAAACQEAAA8AAAAAAAAAAQAgAAAAIgAAAGRycy9kb3ducmV2Lnht&#10;bFBLAQIUABQAAAAIAIdO4kDJI5/a+gEAAOgDAAAOAAAAAAAAAAEAIAAAACYBAABkcnMvZTJvRG9j&#10;LnhtbFBLBQYAAAAABgAGAFkBAACSBQAAAAA=&#10;">
                      <v:fill on="f" focussize="0,0"/>
                      <v:stroke color="#000000" joinstyle="round"/>
                      <v:imagedata o:title=""/>
                      <o:lock v:ext="edit" aspectratio="f"/>
                    </v:shape>
                  </w:pict>
                </mc:Fallback>
              </mc:AlternateContent>
            </w:r>
            <w:r>
              <w:rPr>
                <w:rFonts w:hint="eastAsia" w:ascii="仿宋_GB2312" w:hAnsi="仿宋" w:cs="仿宋"/>
                <w:b/>
                <w:color w:val="000000" w:themeColor="text1"/>
                <w:sz w:val="24"/>
                <w14:textFill>
                  <w14:solidFill>
                    <w14:schemeClr w14:val="tx1"/>
                  </w14:solidFill>
                </w14:textFill>
              </w:rPr>
              <w:t>洁净度级别</w:t>
            </w:r>
          </w:p>
          <w:p>
            <w:pPr>
              <w:snapToGrid w:val="0"/>
              <w:spacing w:line="360" w:lineRule="auto"/>
              <w:jc w:val="center"/>
              <w:rPr>
                <w:rFonts w:ascii="仿宋_GB2312" w:hAnsi="仿宋" w:cs="仿宋"/>
                <w:b/>
                <w:color w:val="000000" w:themeColor="text1"/>
                <w:sz w:val="24"/>
                <w14:textFill>
                  <w14:solidFill>
                    <w14:schemeClr w14:val="tx1"/>
                  </w14:solidFill>
                </w14:textFill>
              </w:rPr>
            </w:pPr>
          </w:p>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cstheme="majorBidi"/>
                <w:color w:val="000000" w:themeColor="text1"/>
                <w:szCs w:val="32"/>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-35560</wp:posOffset>
                      </wp:positionH>
                      <wp:positionV relativeFrom="paragraph">
                        <wp:posOffset>114935</wp:posOffset>
                      </wp:positionV>
                      <wp:extent cx="1548765" cy="266700"/>
                      <wp:effectExtent l="635" t="4445" r="12700" b="14605"/>
                      <wp:wrapNone/>
                      <wp:docPr id="6" name="直接箭头连接符 6"/>
                      <wp:cNvGraphicFramePr/>
                      <a:graphic xmlns:a="http://schemas.openxmlformats.org/drawingml/2006/main">
                        <a:graphicData uri="http://schemas.microsoft.com/office/word/2010/wordprocessingShape">
                          <wps:wsp>
                            <wps:cNvCnPr>
                              <a:cxnSpLocks noChangeShapeType="1"/>
                            </wps:cNvCnPr>
                            <wps:spPr bwMode="auto">
                              <a:xfrm>
                                <a:off x="0" y="0"/>
                                <a:ext cx="1548765" cy="26670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2.8pt;margin-top:9.05pt;height:21pt;width:121.95pt;z-index:251659264;mso-width-relative:page;mso-height-relative:page;" filled="f" stroked="t" coordsize="21600,21600" o:gfxdata="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96537XAAAACAEAAA8AAAAAAAAAAQAgAAAAIgAAAGRycy9kb3du&#10;cmV2LnhtbFBLAQIUABQAAAAIAIdO4kA+GRuGAAIAANEDAAAOAAAAAAAAAAEAIAAAACYBAABkcnMv&#10;ZTJvRG9jLnhtbFBLBQYAAAAABgAGAFkBAACYBQAAAAA=&#10;">
                      <v:fill on="f" focussize="0,0"/>
                      <v:stroke color="#000000" joinstyle="round"/>
                      <v:imagedata o:title=""/>
                      <o:lock v:ext="edit" aspectratio="f"/>
                    </v:shape>
                  </w:pict>
                </mc:Fallback>
              </mc:AlternateContent>
            </w:r>
            <w:r>
              <w:rPr>
                <w:rFonts w:hint="eastAsia" w:ascii="仿宋_GB2312" w:hAnsi="仿宋" w:cs="仿宋"/>
                <w:b/>
                <w:color w:val="000000" w:themeColor="text1"/>
                <w:sz w:val="24"/>
                <w14:textFill>
                  <w14:solidFill>
                    <w14:schemeClr w14:val="tx1"/>
                  </w14:solidFill>
                </w14:textFill>
              </w:rPr>
              <w:t xml:space="preserve">  最小采样量</w:t>
            </w:r>
          </w:p>
          <w:p>
            <w:pPr>
              <w:snapToGrid w:val="0"/>
              <w:spacing w:line="360" w:lineRule="auto"/>
              <w:jc w:val="center"/>
              <w:rPr>
                <w:rFonts w:ascii="仿宋_GB2312" w:hAnsi="仿宋" w:cs="仿宋"/>
                <w:color w:val="000000" w:themeColor="text1"/>
                <w:szCs w:val="21"/>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粒径（L/次）</w:t>
            </w:r>
          </w:p>
        </w:tc>
        <w:tc>
          <w:tcPr>
            <w:tcW w:w="1984"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A（100）级</w:t>
            </w:r>
          </w:p>
        </w:tc>
        <w:tc>
          <w:tcPr>
            <w:tcW w:w="2065"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C（10000）级</w:t>
            </w:r>
          </w:p>
        </w:tc>
        <w:tc>
          <w:tcPr>
            <w:tcW w:w="2022"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D（100000）级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52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≥0.5μm</w:t>
            </w:r>
          </w:p>
        </w:tc>
        <w:tc>
          <w:tcPr>
            <w:tcW w:w="1984"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5.66</w:t>
            </w:r>
          </w:p>
        </w:tc>
        <w:tc>
          <w:tcPr>
            <w:tcW w:w="2065"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2.83</w:t>
            </w:r>
          </w:p>
        </w:tc>
        <w:tc>
          <w:tcPr>
            <w:tcW w:w="2022"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529"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≥5μm</w:t>
            </w:r>
          </w:p>
        </w:tc>
        <w:tc>
          <w:tcPr>
            <w:tcW w:w="1984"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8.5</w:t>
            </w:r>
          </w:p>
        </w:tc>
        <w:tc>
          <w:tcPr>
            <w:tcW w:w="2065"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8.5</w:t>
            </w:r>
          </w:p>
        </w:tc>
        <w:tc>
          <w:tcPr>
            <w:tcW w:w="2022"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8.5</w:t>
            </w:r>
          </w:p>
        </w:tc>
      </w:tr>
    </w:tbl>
    <w:p>
      <w:pPr>
        <w:spacing w:line="360" w:lineRule="auto"/>
        <w:rPr>
          <w:rFonts w:ascii="仿宋_GB2312" w:hAnsi="仿宋" w:cs="仿宋"/>
          <w:b/>
          <w:bCs/>
          <w:color w:val="000000" w:themeColor="text1"/>
          <w:sz w:val="28"/>
          <w:szCs w:val="28"/>
          <w14:textFill>
            <w14:solidFill>
              <w14:schemeClr w14:val="tx1"/>
            </w14:solidFill>
          </w14:textFill>
        </w:rPr>
      </w:pPr>
    </w:p>
    <w:p>
      <w:pPr>
        <w:pStyle w:val="3"/>
        <w:spacing w:line="360" w:lineRule="auto"/>
        <w:jc w:val="center"/>
        <w:rPr>
          <w:rFonts w:ascii="仿宋_GB2312" w:eastAsia="仿宋_GB2312" w:cs="仿宋"/>
          <w:color w:val="000000" w:themeColor="text1"/>
          <w:sz w:val="28"/>
          <w:szCs w:val="28"/>
          <w14:textFill>
            <w14:solidFill>
              <w14:schemeClr w14:val="tx1"/>
            </w14:solidFill>
          </w14:textFill>
        </w:rPr>
      </w:pPr>
      <w:r>
        <w:rPr>
          <w:rFonts w:hint="eastAsia" w:ascii="仿宋_GB2312" w:eastAsia="仿宋_GB2312" w:cs="仿宋"/>
          <w:color w:val="000000" w:themeColor="text1"/>
          <w:sz w:val="28"/>
          <w:szCs w:val="28"/>
          <w14:textFill>
            <w14:solidFill>
              <w14:schemeClr w14:val="tx1"/>
            </w14:solidFill>
          </w14:textFill>
        </w:rPr>
        <w:t>附表6  洁净区悬浮粒子数要求</w:t>
      </w:r>
    </w:p>
    <w:tbl>
      <w:tblPr>
        <w:tblStyle w:val="6"/>
        <w:tblW w:w="85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40"/>
        <w:gridCol w:w="2840"/>
        <w:gridCol w:w="28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40" w:type="dxa"/>
            <w:vMerge w:val="restart"/>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洁净度级别</w:t>
            </w:r>
          </w:p>
        </w:tc>
        <w:tc>
          <w:tcPr>
            <w:tcW w:w="5682" w:type="dxa"/>
            <w:gridSpan w:val="2"/>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悬浮粒子最大允许数（个/m</w:t>
            </w:r>
            <w:r>
              <w:rPr>
                <w:rFonts w:hint="eastAsia" w:ascii="仿宋_GB2312" w:hAnsi="仿宋" w:cs="仿宋"/>
                <w:b/>
                <w:color w:val="000000" w:themeColor="text1"/>
                <w:sz w:val="24"/>
                <w:vertAlign w:val="superscript"/>
                <w14:textFill>
                  <w14:solidFill>
                    <w14:schemeClr w14:val="tx1"/>
                  </w14:solidFill>
                </w14:textFill>
              </w:rPr>
              <w:t>3</w:t>
            </w:r>
            <w:r>
              <w:rPr>
                <w:rFonts w:hint="eastAsia" w:ascii="仿宋_GB2312" w:hAnsi="仿宋" w:cs="仿宋"/>
                <w:b/>
                <w:color w:val="000000" w:themeColor="text1"/>
                <w:sz w:val="24"/>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4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仿宋" w:cs="仿宋"/>
                <w:b/>
                <w:color w:val="000000" w:themeColor="text1"/>
                <w:sz w:val="24"/>
                <w14:textFill>
                  <w14:solidFill>
                    <w14:schemeClr w14:val="tx1"/>
                  </w14:solidFill>
                </w14:textFill>
              </w:rPr>
            </w:pPr>
          </w:p>
        </w:tc>
        <w:tc>
          <w:tcPr>
            <w:tcW w:w="284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≥0.5μm</w:t>
            </w:r>
          </w:p>
        </w:tc>
        <w:tc>
          <w:tcPr>
            <w:tcW w:w="2841" w:type="dxa"/>
            <w:tcBorders>
              <w:top w:val="single" w:color="000000" w:sz="4" w:space="0"/>
              <w:left w:val="single" w:color="000000" w:sz="4" w:space="0"/>
              <w:bottom w:val="single" w:color="000000" w:sz="4" w:space="0"/>
              <w:right w:val="single" w:color="000000" w:sz="4" w:space="0"/>
            </w:tcBorders>
            <w:vAlign w:val="center"/>
          </w:tcPr>
          <w:p>
            <w:pPr>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≥5μm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A(100)级</w:t>
            </w:r>
          </w:p>
        </w:tc>
        <w:tc>
          <w:tcPr>
            <w:tcW w:w="284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3500</w:t>
            </w:r>
          </w:p>
        </w:tc>
        <w:tc>
          <w:tcPr>
            <w:tcW w:w="284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C(10000)级</w:t>
            </w:r>
          </w:p>
        </w:tc>
        <w:tc>
          <w:tcPr>
            <w:tcW w:w="284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350000</w:t>
            </w:r>
          </w:p>
        </w:tc>
        <w:tc>
          <w:tcPr>
            <w:tcW w:w="284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40"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D(100000)级</w:t>
            </w:r>
          </w:p>
        </w:tc>
        <w:tc>
          <w:tcPr>
            <w:tcW w:w="284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3500000</w:t>
            </w:r>
          </w:p>
        </w:tc>
        <w:tc>
          <w:tcPr>
            <w:tcW w:w="2841" w:type="dxa"/>
            <w:tcBorders>
              <w:top w:val="single" w:color="000000" w:sz="4" w:space="0"/>
              <w:left w:val="single" w:color="000000" w:sz="4" w:space="0"/>
              <w:bottom w:val="single" w:color="000000" w:sz="4" w:space="0"/>
              <w:right w:val="single" w:color="000000"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20000</w:t>
            </w:r>
          </w:p>
        </w:tc>
      </w:tr>
    </w:tbl>
    <w:p>
      <w:pPr>
        <w:spacing w:line="360" w:lineRule="auto"/>
        <w:rPr>
          <w:rFonts w:ascii="仿宋_GB2312" w:hAnsi="仿宋" w:cs="仿宋"/>
          <w:b/>
          <w:bCs/>
          <w:color w:val="000000" w:themeColor="text1"/>
          <w:sz w:val="28"/>
          <w:szCs w:val="28"/>
          <w14:textFill>
            <w14:solidFill>
              <w14:schemeClr w14:val="tx1"/>
            </w14:solidFill>
          </w14:textFill>
        </w:rPr>
      </w:pPr>
    </w:p>
    <w:p>
      <w:pPr>
        <w:pStyle w:val="3"/>
        <w:spacing w:line="360" w:lineRule="auto"/>
        <w:jc w:val="center"/>
        <w:rPr>
          <w:rFonts w:ascii="仿宋_GB2312" w:eastAsia="仿宋_GB2312" w:cs="仿宋"/>
          <w:color w:val="000000" w:themeColor="text1"/>
          <w:sz w:val="28"/>
          <w:szCs w:val="28"/>
          <w14:textFill>
            <w14:solidFill>
              <w14:schemeClr w14:val="tx1"/>
            </w14:solidFill>
          </w14:textFill>
        </w:rPr>
      </w:pPr>
      <w:r>
        <w:rPr>
          <w:rFonts w:hint="eastAsia" w:ascii="仿宋_GB2312" w:eastAsia="仿宋_GB2312" w:cs="仿宋"/>
          <w:color w:val="000000" w:themeColor="text1"/>
          <w:sz w:val="28"/>
          <w:szCs w:val="28"/>
          <w14:textFill>
            <w14:solidFill>
              <w14:schemeClr w14:val="tx1"/>
            </w14:solidFill>
          </w14:textFill>
        </w:rPr>
        <w:t>附表7  菌落数限定值（静态）</w:t>
      </w:r>
    </w:p>
    <w:tbl>
      <w:tblPr>
        <w:tblStyle w:val="6"/>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3"/>
        <w:gridCol w:w="1560"/>
        <w:gridCol w:w="1476"/>
        <w:gridCol w:w="1606"/>
        <w:gridCol w:w="1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9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洁净度级别</w:t>
            </w:r>
          </w:p>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/菌落数</w:t>
            </w:r>
          </w:p>
        </w:tc>
        <w:tc>
          <w:tcPr>
            <w:tcW w:w="155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设施表面</w:t>
            </w:r>
          </w:p>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(cfu/碟)</w:t>
            </w:r>
          </w:p>
        </w:tc>
        <w:tc>
          <w:tcPr>
            <w:tcW w:w="147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地面</w:t>
            </w:r>
          </w:p>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(cfu/碟)</w:t>
            </w:r>
          </w:p>
        </w:tc>
        <w:tc>
          <w:tcPr>
            <w:tcW w:w="160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手套表面</w:t>
            </w:r>
          </w:p>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(cfu/碟)</w:t>
            </w:r>
          </w:p>
        </w:tc>
        <w:tc>
          <w:tcPr>
            <w:tcW w:w="175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洁净服表面</w:t>
            </w:r>
          </w:p>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(cfu/碟)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A(100)级</w:t>
            </w:r>
          </w:p>
        </w:tc>
        <w:tc>
          <w:tcPr>
            <w:tcW w:w="155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w:t>
            </w:r>
          </w:p>
        </w:tc>
        <w:tc>
          <w:tcPr>
            <w:tcW w:w="147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w:t>
            </w:r>
          </w:p>
        </w:tc>
        <w:tc>
          <w:tcPr>
            <w:tcW w:w="160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≤3</w:t>
            </w:r>
          </w:p>
        </w:tc>
        <w:tc>
          <w:tcPr>
            <w:tcW w:w="175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9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b/>
                <w:color w:val="000000" w:themeColor="text1"/>
                <w:sz w:val="24"/>
                <w14:textFill>
                  <w14:solidFill>
                    <w14:schemeClr w14:val="tx1"/>
                  </w14:solidFill>
                </w14:textFill>
              </w:rPr>
            </w:pPr>
            <w:r>
              <w:rPr>
                <w:rFonts w:hint="eastAsia" w:ascii="仿宋_GB2312" w:hAnsi="仿宋" w:cs="仿宋"/>
                <w:b/>
                <w:color w:val="000000" w:themeColor="text1"/>
                <w:sz w:val="24"/>
                <w14:textFill>
                  <w14:solidFill>
                    <w14:schemeClr w14:val="tx1"/>
                  </w14:solidFill>
                </w14:textFill>
              </w:rPr>
              <w:t>C(10000)级</w:t>
            </w:r>
          </w:p>
        </w:tc>
        <w:tc>
          <w:tcPr>
            <w:tcW w:w="155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≤5</w:t>
            </w:r>
          </w:p>
        </w:tc>
        <w:tc>
          <w:tcPr>
            <w:tcW w:w="147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≤10</w:t>
            </w:r>
          </w:p>
        </w:tc>
        <w:tc>
          <w:tcPr>
            <w:tcW w:w="160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≤10</w:t>
            </w:r>
          </w:p>
        </w:tc>
        <w:tc>
          <w:tcPr>
            <w:tcW w:w="175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仿宋_GB2312" w:hAnsi="仿宋" w:cs="仿宋"/>
                <w:color w:val="000000" w:themeColor="text1"/>
                <w:sz w:val="24"/>
                <w14:textFill>
                  <w14:solidFill>
                    <w14:schemeClr w14:val="tx1"/>
                  </w14:solidFill>
                </w14:textFill>
              </w:rPr>
            </w:pPr>
            <w:r>
              <w:rPr>
                <w:rFonts w:hint="eastAsia" w:ascii="仿宋_GB2312" w:hAnsi="仿宋" w:cs="仿宋"/>
                <w:color w:val="000000" w:themeColor="text1"/>
                <w:sz w:val="24"/>
                <w14:textFill>
                  <w14:solidFill>
                    <w14:schemeClr w14:val="tx1"/>
                  </w14:solidFill>
                </w14:textFill>
              </w:rPr>
              <w:t>≤20</w:t>
            </w:r>
          </w:p>
        </w:tc>
      </w:tr>
    </w:tbl>
    <w:p>
      <w:pPr>
        <w:pStyle w:val="13"/>
        <w:numPr>
          <w:ilvl w:val="0"/>
          <w:numId w:val="0"/>
        </w:numPr>
        <w:spacing w:before="156" w:after="156" w:line="360" w:lineRule="auto"/>
        <w:ind w:left="710"/>
        <w:rPr>
          <w:rFonts w:ascii="仿宋_GB2312" w:hAnsi="仿宋" w:eastAsia="仿宋_GB2312" w:cs="仿宋"/>
          <w:bCs/>
          <w:color w:val="000000" w:themeColor="text1"/>
          <w:sz w:val="24"/>
          <w:szCs w:val="24"/>
          <w14:textFill>
            <w14:solidFill>
              <w14:schemeClr w14:val="tx1"/>
            </w14:solidFill>
          </w14:textFill>
        </w:rPr>
      </w:pPr>
      <w:r>
        <w:rPr>
          <w:rFonts w:hint="eastAsia" w:ascii="仿宋_GB2312" w:hAnsi="仿宋" w:eastAsia="仿宋_GB2312" w:cs="仿宋"/>
          <w:bCs/>
          <w:color w:val="000000" w:themeColor="text1"/>
          <w:sz w:val="24"/>
          <w:szCs w:val="24"/>
          <w14:textFill>
            <w14:solidFill>
              <w14:schemeClr w14:val="tx1"/>
            </w14:solidFill>
          </w14:textFill>
        </w:rPr>
        <w:t>注：cfu是菌落形成单位（Colony Forming Units）,指单位体积中的细菌群落总数。在活菌培养计数时，由单个菌体或聚集成团的多个菌体在固体培养基上生成繁殖所形成的菌落。</w:t>
      </w:r>
    </w:p>
    <w:bookmarkEnd w:id="14"/>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suff w:val="nothing"/>
      <w:lvlText w:val="%1.%2　"/>
      <w:lvlJc w:val="left"/>
      <w:pPr>
        <w:ind w:left="1560" w:firstLine="0"/>
      </w:pPr>
      <w:rPr>
        <w:rFonts w:hint="eastAsia" w:ascii="黑体" w:hAnsi="Times New Roman" w:eastAsia="黑体" w:cs="Times New Roman"/>
        <w:b w:val="0"/>
        <w:bCs w:val="0"/>
        <w:i w:val="0"/>
        <w:iCs w:val="0"/>
        <w:caps w:val="0"/>
        <w:strike w:val="0"/>
        <w:dstrike w:val="0"/>
        <w:vanish w:val="0"/>
        <w:color w:val="auto"/>
        <w:spacing w:val="0"/>
        <w:kern w:val="0"/>
        <w:position w:val="0"/>
        <w:sz w:val="21"/>
        <w:szCs w:val="21"/>
        <w:u w:val="none"/>
        <w:vertAlign w:val="baseline"/>
      </w:rPr>
    </w:lvl>
    <w:lvl w:ilvl="2" w:tentative="0">
      <w:start w:val="1"/>
      <w:numFmt w:val="decimal"/>
      <w:pStyle w:val="12"/>
      <w:suff w:val="nothing"/>
      <w:lvlText w:val="%1.%2.%3　"/>
      <w:lvlJc w:val="left"/>
      <w:pPr>
        <w:ind w:left="0" w:firstLine="0"/>
      </w:pPr>
      <w:rPr>
        <w:rFonts w:hint="eastAsia" w:ascii="黑体" w:hAnsi="Times New Roman" w:eastAsia="黑体"/>
        <w:b w:val="0"/>
        <w:i w:val="0"/>
        <w:sz w:val="21"/>
      </w:rPr>
    </w:lvl>
    <w:lvl w:ilvl="3" w:tentative="0">
      <w:start w:val="1"/>
      <w:numFmt w:val="decimal"/>
      <w:pStyle w:val="13"/>
      <w:suff w:val="nothing"/>
      <w:lvlText w:val="%1.%2.%3.%4　"/>
      <w:lvlJc w:val="left"/>
      <w:pPr>
        <w:ind w:left="568"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EA7"/>
    <w:rsid w:val="00015529"/>
    <w:rsid w:val="00092485"/>
    <w:rsid w:val="00272D1A"/>
    <w:rsid w:val="002E3DD2"/>
    <w:rsid w:val="003C5EA7"/>
    <w:rsid w:val="0053358A"/>
    <w:rsid w:val="00554EF8"/>
    <w:rsid w:val="00666D3B"/>
    <w:rsid w:val="006D3FB3"/>
    <w:rsid w:val="00B04535"/>
    <w:rsid w:val="00B65447"/>
    <w:rsid w:val="00C444B6"/>
    <w:rsid w:val="00FE1AE3"/>
    <w:rsid w:val="5B0C3578"/>
    <w:rsid w:val="6DF96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2"/>
    <w:basedOn w:val="1"/>
    <w:next w:val="1"/>
    <w:link w:val="11"/>
    <w:qFormat/>
    <w:uiPriority w:val="9"/>
    <w:pPr>
      <w:keepNext/>
      <w:keepLines/>
      <w:spacing w:line="600" w:lineRule="exact"/>
      <w:outlineLvl w:val="1"/>
    </w:pPr>
    <w:rPr>
      <w:rFonts w:ascii="仿宋" w:hAnsi="仿宋" w:eastAsia="仿宋"/>
      <w:b/>
      <w:bCs/>
      <w:szCs w:val="32"/>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8">
    <w:name w:val="Strong"/>
    <w:qFormat/>
    <w:uiPriority w:val="0"/>
    <w:rPr>
      <w:b/>
      <w:bCs/>
    </w:rPr>
  </w:style>
  <w:style w:type="character" w:customStyle="1" w:styleId="9">
    <w:name w:val="页眉 字符"/>
    <w:basedOn w:val="7"/>
    <w:link w:val="4"/>
    <w:semiHidden/>
    <w:qFormat/>
    <w:uiPriority w:val="99"/>
    <w:rPr>
      <w:sz w:val="18"/>
      <w:szCs w:val="18"/>
    </w:rPr>
  </w:style>
  <w:style w:type="character" w:customStyle="1" w:styleId="10">
    <w:name w:val="页脚 字符"/>
    <w:basedOn w:val="7"/>
    <w:link w:val="2"/>
    <w:qFormat/>
    <w:uiPriority w:val="99"/>
    <w:rPr>
      <w:sz w:val="18"/>
      <w:szCs w:val="18"/>
    </w:rPr>
  </w:style>
  <w:style w:type="character" w:customStyle="1" w:styleId="11">
    <w:name w:val="标题 2 字符"/>
    <w:basedOn w:val="7"/>
    <w:link w:val="3"/>
    <w:uiPriority w:val="9"/>
    <w:rPr>
      <w:rFonts w:ascii="仿宋" w:hAnsi="仿宋" w:eastAsia="仿宋" w:cs="Times New Roman"/>
      <w:b/>
      <w:bCs/>
      <w:kern w:val="2"/>
      <w:sz w:val="32"/>
      <w:szCs w:val="32"/>
    </w:rPr>
  </w:style>
  <w:style w:type="paragraph" w:customStyle="1" w:styleId="12">
    <w:name w:val="二级条标题"/>
    <w:basedOn w:val="1"/>
    <w:next w:val="1"/>
    <w:qFormat/>
    <w:uiPriority w:val="0"/>
    <w:pPr>
      <w:widowControl/>
      <w:numPr>
        <w:ilvl w:val="2"/>
        <w:numId w:val="1"/>
      </w:numPr>
      <w:spacing w:beforeLines="50" w:afterLines="50"/>
      <w:jc w:val="left"/>
      <w:outlineLvl w:val="3"/>
    </w:pPr>
    <w:rPr>
      <w:rFonts w:ascii="黑体" w:hAnsi="Calibri" w:eastAsia="黑体"/>
      <w:kern w:val="0"/>
      <w:szCs w:val="21"/>
    </w:rPr>
  </w:style>
  <w:style w:type="paragraph" w:customStyle="1" w:styleId="13">
    <w:name w:val="三级条标题"/>
    <w:basedOn w:val="12"/>
    <w:next w:val="1"/>
    <w:qFormat/>
    <w:uiPriority w:val="0"/>
    <w:pPr>
      <w:numPr>
        <w:ilvl w:val="3"/>
      </w:numPr>
      <w:spacing w:before="50" w:after="50"/>
      <w:outlineLvl w:val="4"/>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841</Words>
  <Characters>4795</Characters>
  <Lines>39</Lines>
  <Paragraphs>11</Paragraphs>
  <TotalTime>2</TotalTime>
  <ScaleCrop>false</ScaleCrop>
  <LinksUpToDate>false</LinksUpToDate>
  <CharactersWithSpaces>5625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2023-11-17T07:32:00Z</dcterms:created>
  <dc:creator>lenovo</dc:creator>
  <cp:lastModifiedBy>肖华香</cp:lastModifiedBy>
  <dcterms:modified xsi:type="dcterms:W3CDTF">2023-11-17T08:31:53Z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E85BF020A1484933A8DACC52A3AA1EB1_13</vt:lpwstr>
  </property>
</Properties>
</file>