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CF002">
      <w:pPr>
        <w:jc w:val="center"/>
        <w:rPr>
          <w:rFonts w:hint="eastAsia" w:ascii="宋体" w:hAnsi="宋体" w:eastAsia="宋体" w:cs="仿宋_GB2312"/>
          <w:b/>
          <w:sz w:val="44"/>
          <w:szCs w:val="44"/>
        </w:rPr>
      </w:pPr>
      <w:bookmarkStart w:id="0" w:name="_GoBack"/>
      <w:bookmarkEnd w:id="0"/>
      <w:r>
        <w:rPr>
          <w:rFonts w:hint="eastAsia" w:ascii="宋体" w:hAnsi="宋体" w:eastAsia="宋体" w:cs="仿宋_GB2312"/>
          <w:b/>
          <w:sz w:val="44"/>
          <w:szCs w:val="44"/>
        </w:rPr>
        <w:t>资产数据</w:t>
      </w:r>
      <w:r>
        <w:rPr>
          <w:rFonts w:hint="eastAsia" w:ascii="宋体" w:hAnsi="宋体" w:eastAsia="宋体" w:cs="仿宋_GB2312"/>
          <w:b/>
          <w:sz w:val="44"/>
          <w:szCs w:val="44"/>
          <w:lang w:val="en-US" w:eastAsia="zh-CN"/>
        </w:rPr>
        <w:t>同步</w:t>
      </w:r>
      <w:r>
        <w:rPr>
          <w:rFonts w:hint="eastAsia" w:ascii="宋体" w:hAnsi="宋体" w:eastAsia="宋体" w:cs="仿宋_GB2312"/>
          <w:b/>
          <w:sz w:val="44"/>
          <w:szCs w:val="44"/>
        </w:rPr>
        <w:t>服务技术参数</w:t>
      </w:r>
    </w:p>
    <w:tbl>
      <w:tblPr>
        <w:tblStyle w:val="15"/>
        <w:tblW w:w="6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4"/>
        <w:gridCol w:w="1026"/>
        <w:gridCol w:w="2163"/>
      </w:tblGrid>
      <w:tr w14:paraId="416B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473" w:hRule="atLeast"/>
          <w:jc w:val="center"/>
        </w:trPr>
        <w:tc>
          <w:tcPr>
            <w:tcW w:w="3294" w:type="dxa"/>
            <w:tcBorders>
              <w:top w:val="single" w:color="auto" w:sz="4" w:space="0"/>
              <w:left w:val="single" w:color="auto" w:sz="4" w:space="0"/>
              <w:bottom w:val="single" w:color="auto" w:sz="4" w:space="0"/>
              <w:right w:val="single" w:color="auto" w:sz="4" w:space="0"/>
            </w:tcBorders>
            <w:noWrap/>
            <w:vAlign w:val="center"/>
          </w:tcPr>
          <w:p w14:paraId="51801916">
            <w:pPr>
              <w:widowControl/>
              <w:jc w:val="center"/>
              <w:rPr>
                <w:rFonts w:ascii="宋体" w:hAnsi="宋体" w:eastAsia="宋体" w:cs="黑体"/>
                <w:b/>
                <w:color w:val="000000"/>
                <w:kern w:val="0"/>
                <w:sz w:val="24"/>
              </w:rPr>
            </w:pPr>
            <w:r>
              <w:rPr>
                <w:rFonts w:hint="eastAsia" w:ascii="宋体" w:hAnsi="宋体" w:eastAsia="宋体" w:cs="黑体"/>
                <w:b/>
                <w:color w:val="000000"/>
                <w:kern w:val="0"/>
                <w:sz w:val="24"/>
              </w:rPr>
              <w:t>项目名称</w:t>
            </w:r>
          </w:p>
        </w:tc>
        <w:tc>
          <w:tcPr>
            <w:tcW w:w="1026" w:type="dxa"/>
            <w:tcBorders>
              <w:top w:val="single" w:color="auto" w:sz="4" w:space="0"/>
              <w:left w:val="single" w:color="auto" w:sz="4" w:space="0"/>
              <w:bottom w:val="single" w:color="auto" w:sz="4" w:space="0"/>
              <w:right w:val="single" w:color="auto" w:sz="4" w:space="0"/>
            </w:tcBorders>
            <w:noWrap/>
            <w:vAlign w:val="center"/>
          </w:tcPr>
          <w:p w14:paraId="5DBA767E">
            <w:pPr>
              <w:widowControl/>
              <w:jc w:val="center"/>
              <w:rPr>
                <w:rFonts w:ascii="宋体" w:hAnsi="宋体" w:eastAsia="宋体" w:cs="黑体"/>
                <w:b/>
                <w:color w:val="000000"/>
                <w:kern w:val="0"/>
                <w:sz w:val="24"/>
              </w:rPr>
            </w:pPr>
            <w:r>
              <w:rPr>
                <w:rFonts w:hint="eastAsia" w:ascii="宋体" w:hAnsi="宋体" w:eastAsia="宋体" w:cs="黑体"/>
                <w:b/>
                <w:color w:val="000000"/>
                <w:kern w:val="0"/>
                <w:sz w:val="24"/>
              </w:rPr>
              <w:t>数量</w:t>
            </w:r>
          </w:p>
        </w:tc>
        <w:tc>
          <w:tcPr>
            <w:tcW w:w="2163" w:type="dxa"/>
            <w:tcBorders>
              <w:top w:val="single" w:color="auto" w:sz="4" w:space="0"/>
              <w:left w:val="single" w:color="auto" w:sz="4" w:space="0"/>
              <w:bottom w:val="single" w:color="auto" w:sz="4" w:space="0"/>
              <w:right w:val="single" w:color="auto" w:sz="4" w:space="0"/>
            </w:tcBorders>
            <w:noWrap/>
            <w:vAlign w:val="center"/>
          </w:tcPr>
          <w:p w14:paraId="3E923E30">
            <w:pPr>
              <w:widowControl/>
              <w:jc w:val="center"/>
              <w:rPr>
                <w:rFonts w:ascii="宋体" w:hAnsi="宋体" w:eastAsia="宋体" w:cs="黑体"/>
                <w:b/>
                <w:color w:val="000000"/>
                <w:kern w:val="0"/>
                <w:sz w:val="24"/>
              </w:rPr>
            </w:pPr>
            <w:r>
              <w:rPr>
                <w:rFonts w:hint="eastAsia" w:ascii="宋体" w:hAnsi="宋体" w:eastAsia="宋体" w:cs="黑体"/>
                <w:b/>
                <w:color w:val="000000"/>
                <w:kern w:val="0"/>
                <w:sz w:val="24"/>
                <w:lang w:val="en-US" w:eastAsia="zh-CN"/>
              </w:rPr>
              <w:t>最高限价</w:t>
            </w:r>
            <w:r>
              <w:rPr>
                <w:rFonts w:hint="eastAsia" w:ascii="宋体" w:hAnsi="宋体" w:eastAsia="宋体" w:cs="黑体"/>
                <w:b/>
                <w:color w:val="000000"/>
                <w:kern w:val="0"/>
                <w:sz w:val="24"/>
              </w:rPr>
              <w:t>（万元）</w:t>
            </w:r>
          </w:p>
        </w:tc>
      </w:tr>
      <w:tr w14:paraId="6735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21" w:hRule="atLeast"/>
          <w:jc w:val="center"/>
        </w:trPr>
        <w:tc>
          <w:tcPr>
            <w:tcW w:w="3294" w:type="dxa"/>
            <w:tcBorders>
              <w:top w:val="single" w:color="auto" w:sz="4" w:space="0"/>
              <w:left w:val="single" w:color="auto" w:sz="4" w:space="0"/>
              <w:bottom w:val="single" w:color="auto" w:sz="4" w:space="0"/>
              <w:right w:val="single" w:color="auto" w:sz="4" w:space="0"/>
            </w:tcBorders>
            <w:noWrap/>
            <w:vAlign w:val="center"/>
          </w:tcPr>
          <w:p w14:paraId="524446EB">
            <w:pPr>
              <w:widowControl/>
              <w:jc w:val="center"/>
              <w:rPr>
                <w:rFonts w:ascii="宋体" w:hAnsi="宋体" w:eastAsia="宋体"/>
                <w:color w:val="000000"/>
                <w:kern w:val="0"/>
                <w:sz w:val="24"/>
                <w:szCs w:val="24"/>
              </w:rPr>
            </w:pPr>
            <w:r>
              <w:rPr>
                <w:rFonts w:hint="eastAsia" w:ascii="宋体" w:hAnsi="宋体"/>
                <w:bCs/>
                <w:sz w:val="24"/>
                <w:szCs w:val="24"/>
              </w:rPr>
              <w:t>资产数据</w:t>
            </w:r>
            <w:r>
              <w:rPr>
                <w:rFonts w:hint="eastAsia" w:ascii="宋体" w:hAnsi="宋体"/>
                <w:bCs/>
                <w:sz w:val="24"/>
                <w:szCs w:val="24"/>
                <w:lang w:val="en-US" w:eastAsia="zh-CN"/>
              </w:rPr>
              <w:t>同步</w:t>
            </w:r>
            <w:r>
              <w:rPr>
                <w:rFonts w:hint="eastAsia" w:ascii="宋体" w:hAnsi="宋体"/>
                <w:bCs/>
                <w:sz w:val="24"/>
                <w:szCs w:val="24"/>
              </w:rPr>
              <w:t>服务</w:t>
            </w:r>
          </w:p>
        </w:tc>
        <w:tc>
          <w:tcPr>
            <w:tcW w:w="1026" w:type="dxa"/>
            <w:tcBorders>
              <w:top w:val="single" w:color="auto" w:sz="4" w:space="0"/>
              <w:left w:val="single" w:color="auto" w:sz="4" w:space="0"/>
              <w:bottom w:val="single" w:color="auto" w:sz="4" w:space="0"/>
              <w:right w:val="single" w:color="auto" w:sz="4" w:space="0"/>
            </w:tcBorders>
            <w:noWrap/>
            <w:vAlign w:val="center"/>
          </w:tcPr>
          <w:p w14:paraId="172926B9">
            <w:pPr>
              <w:widowControl/>
              <w:jc w:val="center"/>
              <w:rPr>
                <w:rFonts w:ascii="宋体" w:hAnsi="宋体" w:eastAsia="宋体"/>
                <w:color w:val="000000"/>
                <w:kern w:val="0"/>
                <w:sz w:val="28"/>
                <w:szCs w:val="28"/>
              </w:rPr>
            </w:pPr>
            <w:r>
              <w:rPr>
                <w:rFonts w:hint="eastAsia" w:ascii="宋体" w:hAnsi="宋体"/>
                <w:color w:val="000000"/>
                <w:kern w:val="0"/>
                <w:sz w:val="28"/>
                <w:szCs w:val="28"/>
              </w:rPr>
              <w:t>1年</w:t>
            </w:r>
          </w:p>
        </w:tc>
        <w:tc>
          <w:tcPr>
            <w:tcW w:w="2163" w:type="dxa"/>
            <w:tcBorders>
              <w:top w:val="single" w:color="auto" w:sz="4" w:space="0"/>
              <w:left w:val="single" w:color="auto" w:sz="4" w:space="0"/>
              <w:bottom w:val="single" w:color="auto" w:sz="4" w:space="0"/>
              <w:right w:val="single" w:color="auto" w:sz="4" w:space="0"/>
            </w:tcBorders>
            <w:noWrap/>
            <w:vAlign w:val="center"/>
          </w:tcPr>
          <w:p w14:paraId="7D5CB033">
            <w:pPr>
              <w:widowControl/>
              <w:jc w:val="center"/>
              <w:rPr>
                <w:rFonts w:ascii="宋体" w:hAnsi="宋体" w:eastAsia="宋体"/>
                <w:color w:val="000000"/>
                <w:kern w:val="0"/>
                <w:sz w:val="28"/>
                <w:szCs w:val="28"/>
              </w:rPr>
            </w:pPr>
            <w:r>
              <w:rPr>
                <w:rFonts w:hint="eastAsia" w:ascii="宋体" w:hAnsi="宋体" w:eastAsia="宋体"/>
                <w:color w:val="000000"/>
                <w:kern w:val="0"/>
                <w:sz w:val="28"/>
                <w:szCs w:val="28"/>
              </w:rPr>
              <w:t>9.8</w:t>
            </w:r>
          </w:p>
        </w:tc>
      </w:tr>
    </w:tbl>
    <w:p w14:paraId="7C9C46FC">
      <w:pPr>
        <w:pStyle w:val="3"/>
        <w:ind w:firstLine="482"/>
        <w:rPr>
          <w:rStyle w:val="18"/>
          <w:rFonts w:hint="eastAsia" w:ascii="宋体" w:hAnsi="宋体" w:eastAsia="宋体" w:cs="仿宋"/>
          <w:kern w:val="0"/>
          <w:szCs w:val="24"/>
          <w:lang w:bidi="ar"/>
        </w:rPr>
      </w:pPr>
      <w:r>
        <w:rPr>
          <w:rStyle w:val="18"/>
          <w:rFonts w:hint="eastAsia" w:ascii="宋体" w:hAnsi="宋体" w:eastAsia="宋体" w:cs="仿宋"/>
          <w:kern w:val="0"/>
          <w:szCs w:val="24"/>
          <w:lang w:bidi="ar"/>
        </w:rPr>
        <w:t>一、技术参数</w:t>
      </w:r>
    </w:p>
    <w:p w14:paraId="383C8964">
      <w:pPr>
        <w:pStyle w:val="3"/>
        <w:rPr>
          <w:rFonts w:hint="eastAsia" w:cs="仿宋_GB2312"/>
        </w:rPr>
      </w:pPr>
      <w:r>
        <w:rPr>
          <w:rFonts w:hint="eastAsia" w:cs="仿宋_GB2312"/>
        </w:rPr>
        <w:t>1、概述：本次项目建设为福建</w:t>
      </w:r>
      <w:r>
        <w:rPr>
          <w:rFonts w:hint="eastAsia" w:cs="仿宋_GB2312"/>
          <w:lang w:val="en-US" w:eastAsia="zh-CN"/>
        </w:rPr>
        <w:t>省儿童</w:t>
      </w:r>
      <w:r>
        <w:rPr>
          <w:rFonts w:hint="eastAsia" w:cs="仿宋_GB2312"/>
        </w:rPr>
        <w:t>医院提供省财政预算一体化系统及省机关事务工作业务服务支撑系统同步服务，包括提供年度的数据上传服务，年报管理服务和其他报表服务。本次通过资产数据同步服务的建设，实现以下目标：</w:t>
      </w:r>
    </w:p>
    <w:p w14:paraId="1A994E9A">
      <w:pPr>
        <w:pStyle w:val="3"/>
        <w:rPr>
          <w:rFonts w:hint="eastAsia" w:cs="仿宋_GB2312"/>
        </w:rPr>
      </w:pPr>
      <w:r>
        <w:rPr>
          <w:rFonts w:hint="eastAsia" w:cs="仿宋_GB2312"/>
        </w:rPr>
        <w:t>（1）数据标准化管理：将单位资产信息卡、资产使用和资产处置的业务数据等进行规则校验及转换，实现数据的统一规范化与标准化。</w:t>
      </w:r>
    </w:p>
    <w:p w14:paraId="5A3E905E">
      <w:pPr>
        <w:pStyle w:val="3"/>
        <w:rPr>
          <w:rFonts w:hint="eastAsia" w:cs="仿宋_GB2312"/>
          <w:lang w:eastAsia="zh-Hans"/>
        </w:rPr>
      </w:pPr>
      <w:r>
        <w:rPr>
          <w:rFonts w:hint="eastAsia" w:cs="仿宋_GB2312"/>
        </w:rPr>
        <w:t>（2）</w:t>
      </w:r>
      <w:r>
        <w:rPr>
          <w:rFonts w:hint="eastAsia" w:cs="仿宋_GB2312"/>
          <w:lang w:eastAsia="zh-Hans"/>
        </w:rPr>
        <w:t>数据及时同步</w:t>
      </w:r>
      <w:r>
        <w:rPr>
          <w:rFonts w:hint="eastAsia" w:cs="仿宋_GB2312"/>
        </w:rPr>
        <w:t>：</w:t>
      </w:r>
      <w:r>
        <w:rPr>
          <w:rFonts w:hint="eastAsia" w:cs="仿宋_GB2312"/>
          <w:lang w:eastAsia="zh-Hans"/>
        </w:rPr>
        <w:t>资产增量等数据及时推送给</w:t>
      </w:r>
      <w:r>
        <w:rPr>
          <w:rFonts w:hint="eastAsia" w:cs="仿宋_GB2312"/>
        </w:rPr>
        <w:t>省财政预算一体化系统及省机关事务工作业务服务支撑系统</w:t>
      </w:r>
      <w:r>
        <w:rPr>
          <w:rFonts w:hint="eastAsia" w:cs="仿宋_GB2312"/>
          <w:lang w:eastAsia="zh-Hans"/>
        </w:rPr>
        <w:t>,实现数据及时同步，避免信息不对称。</w:t>
      </w:r>
    </w:p>
    <w:p w14:paraId="5B6094D3">
      <w:pPr>
        <w:pStyle w:val="3"/>
        <w:rPr>
          <w:rFonts w:hint="eastAsia" w:cs="仿宋_GB2312"/>
        </w:rPr>
      </w:pPr>
      <w:r>
        <w:rPr>
          <w:rFonts w:hint="eastAsia" w:cs="仿宋_GB2312"/>
        </w:rPr>
        <w:t>（3）</w:t>
      </w:r>
      <w:r>
        <w:rPr>
          <w:rFonts w:hint="eastAsia" w:cs="仿宋_GB2312"/>
          <w:lang w:eastAsia="zh-Hans"/>
        </w:rPr>
        <w:t>跨系统业务审批流转</w:t>
      </w:r>
      <w:r>
        <w:rPr>
          <w:rFonts w:hint="eastAsia" w:cs="仿宋_GB2312"/>
        </w:rPr>
        <w:t>：</w:t>
      </w:r>
      <w:r>
        <w:rPr>
          <w:rFonts w:hint="eastAsia" w:cs="仿宋_GB2312"/>
          <w:lang w:eastAsia="zh-Hans"/>
        </w:rPr>
        <w:t>将单位资产管理中的资产使用、资产处置中涉及财政审批的业务流同步到</w:t>
      </w:r>
      <w:r>
        <w:rPr>
          <w:rFonts w:hint="eastAsia" w:cs="仿宋_GB2312"/>
        </w:rPr>
        <w:t>省财政预算一体化系统及省机关事务工作业务服务支撑系统</w:t>
      </w:r>
      <w:r>
        <w:rPr>
          <w:rFonts w:hint="eastAsia" w:cs="仿宋_GB2312"/>
          <w:lang w:eastAsia="zh-Hans"/>
        </w:rPr>
        <w:t>中，并将</w:t>
      </w:r>
      <w:r>
        <w:rPr>
          <w:rFonts w:hint="eastAsia" w:cs="仿宋_GB2312"/>
        </w:rPr>
        <w:t>省财政预算一体化系统及省机关事务工作业务服务支撑系统</w:t>
      </w:r>
      <w:r>
        <w:rPr>
          <w:rFonts w:hint="eastAsia" w:cs="仿宋_GB2312"/>
          <w:lang w:eastAsia="zh-Hans"/>
        </w:rPr>
        <w:t>中审批的结果同步到单位资产管理</w:t>
      </w:r>
      <w:r>
        <w:rPr>
          <w:rFonts w:hint="eastAsia" w:cs="仿宋_GB2312"/>
        </w:rPr>
        <w:t>系统中</w:t>
      </w:r>
      <w:r>
        <w:rPr>
          <w:rFonts w:hint="eastAsia" w:cs="仿宋_GB2312"/>
          <w:lang w:eastAsia="zh-Hans"/>
        </w:rPr>
        <w:t>。</w:t>
      </w:r>
    </w:p>
    <w:p w14:paraId="16085C26">
      <w:pPr>
        <w:pStyle w:val="3"/>
        <w:rPr>
          <w:rFonts w:hint="eastAsia" w:cs="仿宋_GB2312"/>
        </w:rPr>
      </w:pPr>
      <w:r>
        <w:rPr>
          <w:rFonts w:hint="eastAsia" w:cs="仿宋_GB2312"/>
        </w:rPr>
        <w:t>2、资产数据导入服务：</w:t>
      </w:r>
    </w:p>
    <w:p w14:paraId="084F839C">
      <w:pPr>
        <w:pStyle w:val="3"/>
        <w:rPr>
          <w:rFonts w:hint="eastAsia" w:cs="仿宋_GB2312"/>
        </w:rPr>
      </w:pPr>
      <w:r>
        <w:rPr>
          <w:rFonts w:hint="eastAsia" w:cs="仿宋_GB2312"/>
        </w:rPr>
        <w:t>（1）数据上传服务：投标人提供资产数据的上传服务。</w:t>
      </w:r>
    </w:p>
    <w:p w14:paraId="6A60898E">
      <w:pPr>
        <w:pStyle w:val="3"/>
        <w:rPr>
          <w:rFonts w:hint="eastAsia" w:cs="仿宋_GB2312"/>
        </w:rPr>
      </w:pPr>
      <w:r>
        <w:rPr>
          <w:rFonts w:hint="eastAsia" w:cs="仿宋_GB2312"/>
        </w:rPr>
        <w:t>（2）年报管理服务：投标人按照新国标数据字段、表样格式、填写规范等要求，人工分析单位资产系统所上传的数据，协助单位生成单位国有资产年报。</w:t>
      </w:r>
    </w:p>
    <w:p w14:paraId="4810C16F">
      <w:pPr>
        <w:pStyle w:val="2"/>
        <w:ind w:left="0" w:leftChars="0" w:firstLine="0" w:firstLineChars="0"/>
        <w:rPr>
          <w:rFonts w:hint="default" w:ascii="Calibri" w:hAnsi="Calibri" w:eastAsia="仿宋_GB2312" w:cs="仿宋_GB2312"/>
          <w:kern w:val="2"/>
          <w:sz w:val="24"/>
          <w:szCs w:val="22"/>
          <w:lang w:val="en-US" w:eastAsia="zh-CN" w:bidi="ar-SA"/>
        </w:rPr>
      </w:pPr>
      <w:r>
        <w:rPr>
          <w:rFonts w:hint="eastAsia" w:cs="仿宋_GB2312"/>
          <w:lang w:val="en-US" w:eastAsia="zh-CN"/>
        </w:rPr>
        <w:t xml:space="preserve">  </w:t>
      </w:r>
      <w:r>
        <w:rPr>
          <w:rFonts w:hint="eastAsia" w:ascii="Calibri" w:hAnsi="Calibri" w:eastAsia="仿宋_GB2312" w:cs="仿宋_GB2312"/>
          <w:kern w:val="2"/>
          <w:sz w:val="24"/>
          <w:szCs w:val="22"/>
          <w:lang w:val="en-US" w:eastAsia="zh-CN" w:bidi="ar-SA"/>
        </w:rPr>
        <w:t xml:space="preserve">  3、资产同步软件功能：</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1504"/>
        <w:gridCol w:w="1402"/>
        <w:gridCol w:w="1847"/>
        <w:gridCol w:w="2141"/>
      </w:tblGrid>
      <w:tr w14:paraId="296D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BEBEBE"/>
            <w:noWrap w:val="0"/>
            <w:vAlign w:val="top"/>
          </w:tcPr>
          <w:p w14:paraId="250C17F8">
            <w:pPr>
              <w:pStyle w:val="2"/>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504" w:type="dxa"/>
            <w:shd w:val="clear" w:color="auto" w:fill="BEBEBE"/>
            <w:noWrap w:val="0"/>
            <w:vAlign w:val="top"/>
          </w:tcPr>
          <w:p w14:paraId="1B884803">
            <w:pPr>
              <w:pStyle w:val="2"/>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一级菜单</w:t>
            </w:r>
          </w:p>
        </w:tc>
        <w:tc>
          <w:tcPr>
            <w:tcW w:w="1402" w:type="dxa"/>
            <w:shd w:val="clear" w:color="auto" w:fill="BEBEBE"/>
            <w:noWrap w:val="0"/>
            <w:vAlign w:val="top"/>
          </w:tcPr>
          <w:p w14:paraId="1C71EE6A">
            <w:pPr>
              <w:pStyle w:val="2"/>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二级菜单</w:t>
            </w:r>
          </w:p>
        </w:tc>
        <w:tc>
          <w:tcPr>
            <w:tcW w:w="1847" w:type="dxa"/>
            <w:shd w:val="clear" w:color="auto" w:fill="BEBEBE"/>
            <w:noWrap w:val="0"/>
            <w:vAlign w:val="top"/>
          </w:tcPr>
          <w:p w14:paraId="6CCF784C">
            <w:pPr>
              <w:pStyle w:val="2"/>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功能项</w:t>
            </w:r>
          </w:p>
        </w:tc>
        <w:tc>
          <w:tcPr>
            <w:tcW w:w="2141" w:type="dxa"/>
            <w:shd w:val="clear" w:color="auto" w:fill="BEBEBE"/>
            <w:noWrap w:val="0"/>
            <w:vAlign w:val="top"/>
          </w:tcPr>
          <w:p w14:paraId="0B57DFD6">
            <w:pPr>
              <w:pStyle w:val="2"/>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功能描述</w:t>
            </w:r>
          </w:p>
        </w:tc>
      </w:tr>
      <w:tr w14:paraId="1C75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D0DB210">
            <w:pPr>
              <w:pStyle w:val="2"/>
              <w:numPr>
                <w:ilvl w:val="0"/>
                <w:numId w:val="1"/>
              </w:numPr>
              <w:ind w:left="425" w:leftChars="0" w:hanging="425" w:firstLineChars="0"/>
              <w:jc w:val="center"/>
              <w:rPr>
                <w:rFonts w:hint="eastAsia"/>
                <w:vertAlign w:val="baseline"/>
              </w:rPr>
            </w:pPr>
          </w:p>
        </w:tc>
        <w:tc>
          <w:tcPr>
            <w:tcW w:w="1504" w:type="dxa"/>
            <w:vMerge w:val="restart"/>
            <w:noWrap w:val="0"/>
            <w:vAlign w:val="top"/>
          </w:tcPr>
          <w:p w14:paraId="4ED6F944">
            <w:pPr>
              <w:pStyle w:val="2"/>
              <w:spacing w:line="240" w:lineRule="auto"/>
              <w:ind w:left="0" w:leftChars="0" w:firstLine="0" w:firstLineChars="0"/>
              <w:jc w:val="center"/>
              <w:rPr>
                <w:rFonts w:hint="eastAsia"/>
                <w:vertAlign w:val="baseline"/>
                <w:lang w:val="en-US" w:eastAsia="zh-CN"/>
              </w:rPr>
            </w:pPr>
          </w:p>
          <w:p w14:paraId="69586EA1">
            <w:pPr>
              <w:pStyle w:val="2"/>
              <w:spacing w:line="240" w:lineRule="auto"/>
              <w:ind w:left="0" w:leftChars="0" w:firstLine="0" w:firstLineChars="0"/>
              <w:jc w:val="center"/>
              <w:rPr>
                <w:rFonts w:hint="eastAsia"/>
                <w:vertAlign w:val="baseline"/>
                <w:lang w:val="en-US" w:eastAsia="zh-CN"/>
              </w:rPr>
            </w:pPr>
          </w:p>
          <w:p w14:paraId="10766080">
            <w:pPr>
              <w:pStyle w:val="2"/>
              <w:spacing w:line="240" w:lineRule="auto"/>
              <w:ind w:left="0" w:leftChars="0" w:firstLine="0" w:firstLineChars="0"/>
              <w:jc w:val="center"/>
              <w:rPr>
                <w:rFonts w:hint="eastAsia"/>
                <w:vertAlign w:val="baseline"/>
                <w:lang w:val="en-US" w:eastAsia="zh-CN"/>
              </w:rPr>
            </w:pPr>
          </w:p>
          <w:p w14:paraId="6D475CF5">
            <w:pPr>
              <w:pStyle w:val="2"/>
              <w:spacing w:line="240" w:lineRule="auto"/>
              <w:ind w:left="0" w:leftChars="0" w:firstLine="0" w:firstLineChars="0"/>
              <w:jc w:val="center"/>
              <w:rPr>
                <w:rFonts w:hint="eastAsia"/>
                <w:vertAlign w:val="baseline"/>
                <w:lang w:val="en-US" w:eastAsia="zh-CN"/>
              </w:rPr>
            </w:pPr>
          </w:p>
          <w:p w14:paraId="115F477A">
            <w:pPr>
              <w:pStyle w:val="2"/>
              <w:spacing w:line="240" w:lineRule="auto"/>
              <w:ind w:left="0" w:leftChars="0" w:firstLine="0" w:firstLineChars="0"/>
              <w:jc w:val="center"/>
              <w:rPr>
                <w:rFonts w:hint="eastAsia"/>
                <w:vertAlign w:val="baseline"/>
                <w:lang w:val="en-US" w:eastAsia="zh-CN"/>
              </w:rPr>
            </w:pPr>
          </w:p>
          <w:p w14:paraId="4A6050C0">
            <w:pPr>
              <w:pStyle w:val="2"/>
              <w:spacing w:line="240" w:lineRule="auto"/>
              <w:ind w:left="0" w:leftChars="0" w:firstLine="0" w:firstLineChars="0"/>
              <w:jc w:val="center"/>
              <w:rPr>
                <w:rFonts w:hint="eastAsia"/>
                <w:vertAlign w:val="baseline"/>
                <w:lang w:val="en-US" w:eastAsia="zh-CN"/>
              </w:rPr>
            </w:pPr>
          </w:p>
          <w:p w14:paraId="6BD4945B">
            <w:pPr>
              <w:pStyle w:val="2"/>
              <w:spacing w:line="240" w:lineRule="auto"/>
              <w:ind w:left="0" w:leftChars="0" w:firstLine="0" w:firstLineChars="0"/>
              <w:jc w:val="center"/>
              <w:rPr>
                <w:rFonts w:hint="eastAsia"/>
                <w:vertAlign w:val="baseline"/>
                <w:lang w:val="en-US" w:eastAsia="zh-CN"/>
              </w:rPr>
            </w:pPr>
          </w:p>
          <w:p w14:paraId="7409375C">
            <w:pPr>
              <w:pStyle w:val="2"/>
              <w:spacing w:line="240" w:lineRule="auto"/>
              <w:ind w:left="0" w:leftChars="0" w:firstLine="0" w:firstLineChars="0"/>
              <w:jc w:val="center"/>
              <w:rPr>
                <w:rFonts w:hint="eastAsia"/>
                <w:vertAlign w:val="baseline"/>
                <w:lang w:val="en-US" w:eastAsia="zh-CN"/>
              </w:rPr>
            </w:pPr>
          </w:p>
          <w:p w14:paraId="44A0ECC3">
            <w:pPr>
              <w:pStyle w:val="2"/>
              <w:spacing w:line="240" w:lineRule="auto"/>
              <w:ind w:left="0" w:leftChars="0" w:firstLine="0" w:firstLineChars="0"/>
              <w:jc w:val="center"/>
              <w:rPr>
                <w:rFonts w:hint="eastAsia"/>
                <w:vertAlign w:val="baseline"/>
                <w:lang w:val="en-US" w:eastAsia="zh-CN"/>
              </w:rPr>
            </w:pPr>
          </w:p>
          <w:p w14:paraId="0C832127">
            <w:pPr>
              <w:pStyle w:val="2"/>
              <w:spacing w:line="240" w:lineRule="auto"/>
              <w:ind w:left="0" w:leftChars="0" w:firstLine="0" w:firstLineChars="0"/>
              <w:jc w:val="center"/>
              <w:rPr>
                <w:rFonts w:hint="eastAsia"/>
                <w:vertAlign w:val="baseline"/>
                <w:lang w:val="en-US" w:eastAsia="zh-CN"/>
              </w:rPr>
            </w:pPr>
          </w:p>
          <w:p w14:paraId="5188CB78">
            <w:pPr>
              <w:pStyle w:val="2"/>
              <w:spacing w:line="240" w:lineRule="auto"/>
              <w:ind w:left="0" w:leftChars="0" w:firstLine="0" w:firstLineChars="0"/>
              <w:jc w:val="center"/>
              <w:rPr>
                <w:rFonts w:hint="eastAsia"/>
                <w:vertAlign w:val="baseline"/>
                <w:lang w:val="en-US" w:eastAsia="zh-CN"/>
              </w:rPr>
            </w:pPr>
          </w:p>
          <w:p w14:paraId="683EFB68">
            <w:pPr>
              <w:pStyle w:val="2"/>
              <w:spacing w:line="240" w:lineRule="auto"/>
              <w:ind w:left="0" w:leftChars="0" w:firstLine="0" w:firstLineChars="0"/>
              <w:jc w:val="center"/>
              <w:rPr>
                <w:rFonts w:hint="eastAsia"/>
                <w:vertAlign w:val="baseline"/>
                <w:lang w:val="en-US" w:eastAsia="zh-CN"/>
              </w:rPr>
            </w:pPr>
          </w:p>
          <w:p w14:paraId="522D8F23">
            <w:pPr>
              <w:pStyle w:val="2"/>
              <w:spacing w:line="240" w:lineRule="auto"/>
              <w:ind w:left="0" w:leftChars="0" w:firstLine="0" w:firstLineChars="0"/>
              <w:jc w:val="center"/>
              <w:rPr>
                <w:rFonts w:hint="eastAsia"/>
                <w:vertAlign w:val="baseline"/>
                <w:lang w:val="en-US" w:eastAsia="zh-CN"/>
              </w:rPr>
            </w:pPr>
          </w:p>
          <w:p w14:paraId="1CC43083">
            <w:pPr>
              <w:pStyle w:val="2"/>
              <w:spacing w:line="240" w:lineRule="auto"/>
              <w:ind w:left="0" w:leftChars="0" w:firstLine="0" w:firstLineChars="0"/>
              <w:jc w:val="center"/>
              <w:rPr>
                <w:rFonts w:hint="eastAsia"/>
                <w:vertAlign w:val="baseline"/>
                <w:lang w:val="en-US" w:eastAsia="zh-CN"/>
              </w:rPr>
            </w:pPr>
          </w:p>
          <w:p w14:paraId="40E78D1A">
            <w:pPr>
              <w:pStyle w:val="2"/>
              <w:spacing w:line="240" w:lineRule="auto"/>
              <w:ind w:left="0" w:leftChars="0" w:firstLine="0" w:firstLineChars="0"/>
              <w:jc w:val="center"/>
              <w:rPr>
                <w:rFonts w:hint="eastAsia"/>
                <w:vertAlign w:val="baseline"/>
                <w:lang w:val="en-US" w:eastAsia="zh-CN"/>
              </w:rPr>
            </w:pPr>
          </w:p>
          <w:p w14:paraId="1BACA679">
            <w:pPr>
              <w:pStyle w:val="2"/>
              <w:spacing w:line="240" w:lineRule="auto"/>
              <w:ind w:left="0" w:leftChars="0" w:firstLine="0" w:firstLineChars="0"/>
              <w:jc w:val="center"/>
              <w:rPr>
                <w:rFonts w:hint="default" w:eastAsia="仿宋_GB2312"/>
                <w:vertAlign w:val="baseline"/>
                <w:lang w:val="en-US" w:eastAsia="zh-CN"/>
              </w:rPr>
            </w:pPr>
            <w:r>
              <w:rPr>
                <w:rFonts w:hint="eastAsia"/>
                <w:vertAlign w:val="baseline"/>
                <w:lang w:val="en-US" w:eastAsia="zh-CN"/>
              </w:rPr>
              <w:t>上报数据</w:t>
            </w:r>
          </w:p>
        </w:tc>
        <w:tc>
          <w:tcPr>
            <w:tcW w:w="1402" w:type="dxa"/>
            <w:vMerge w:val="restart"/>
            <w:noWrap w:val="0"/>
            <w:vAlign w:val="top"/>
          </w:tcPr>
          <w:p w14:paraId="297B369B">
            <w:pPr>
              <w:pStyle w:val="2"/>
              <w:ind w:left="0" w:leftChars="0" w:firstLine="0" w:firstLineChars="0"/>
              <w:jc w:val="center"/>
              <w:rPr>
                <w:rFonts w:hint="eastAsia"/>
                <w:vertAlign w:val="baseline"/>
                <w:lang w:val="en-US" w:eastAsia="zh-CN"/>
              </w:rPr>
            </w:pPr>
          </w:p>
          <w:p w14:paraId="70C0EB5F">
            <w:pPr>
              <w:pStyle w:val="2"/>
              <w:ind w:left="0" w:leftChars="0" w:firstLine="0" w:firstLineChars="0"/>
              <w:jc w:val="center"/>
              <w:rPr>
                <w:rFonts w:hint="eastAsia"/>
                <w:vertAlign w:val="baseline"/>
                <w:lang w:val="en-US" w:eastAsia="zh-CN"/>
              </w:rPr>
            </w:pPr>
          </w:p>
          <w:p w14:paraId="3C238C8E">
            <w:pPr>
              <w:pStyle w:val="2"/>
              <w:ind w:left="0" w:leftChars="0" w:firstLine="0" w:firstLineChars="0"/>
              <w:jc w:val="center"/>
              <w:rPr>
                <w:rFonts w:hint="eastAsia"/>
                <w:vertAlign w:val="baseline"/>
                <w:lang w:val="en-US" w:eastAsia="zh-CN"/>
              </w:rPr>
            </w:pPr>
          </w:p>
          <w:p w14:paraId="4222FAD5">
            <w:pPr>
              <w:pStyle w:val="2"/>
              <w:ind w:left="0" w:leftChars="0" w:firstLine="0" w:firstLineChars="0"/>
              <w:jc w:val="center"/>
              <w:rPr>
                <w:rFonts w:hint="eastAsia"/>
                <w:vertAlign w:val="baseline"/>
                <w:lang w:val="en-US" w:eastAsia="zh-CN"/>
              </w:rPr>
            </w:pPr>
          </w:p>
          <w:p w14:paraId="735DA1C7">
            <w:pPr>
              <w:pStyle w:val="2"/>
              <w:ind w:left="0" w:leftChars="0" w:firstLine="0" w:firstLineChars="0"/>
              <w:jc w:val="center"/>
              <w:rPr>
                <w:rFonts w:hint="eastAsia"/>
                <w:vertAlign w:val="baseline"/>
                <w:lang w:val="en-US" w:eastAsia="zh-CN"/>
              </w:rPr>
            </w:pPr>
          </w:p>
          <w:p w14:paraId="1679B121">
            <w:pPr>
              <w:pStyle w:val="2"/>
              <w:ind w:left="0" w:leftChars="0" w:firstLine="0" w:firstLineChars="0"/>
              <w:jc w:val="center"/>
              <w:rPr>
                <w:rFonts w:hint="eastAsia"/>
                <w:vertAlign w:val="baseline"/>
                <w:lang w:val="en-US" w:eastAsia="zh-CN"/>
              </w:rPr>
            </w:pPr>
          </w:p>
          <w:p w14:paraId="73AD1253">
            <w:pPr>
              <w:pStyle w:val="2"/>
              <w:ind w:left="0" w:leftChars="0" w:firstLine="0" w:firstLineChars="0"/>
              <w:jc w:val="center"/>
              <w:rPr>
                <w:rFonts w:hint="eastAsia"/>
                <w:vertAlign w:val="baseline"/>
                <w:lang w:val="en-US" w:eastAsia="zh-CN"/>
              </w:rPr>
            </w:pPr>
          </w:p>
          <w:p w14:paraId="188C46A8">
            <w:pPr>
              <w:pStyle w:val="2"/>
              <w:ind w:left="0" w:leftChars="0" w:firstLine="0" w:firstLineChars="0"/>
              <w:jc w:val="center"/>
              <w:rPr>
                <w:rFonts w:hint="eastAsia"/>
                <w:vertAlign w:val="baseline"/>
                <w:lang w:val="en-US" w:eastAsia="zh-CN"/>
              </w:rPr>
            </w:pPr>
          </w:p>
          <w:p w14:paraId="4B510D55">
            <w:pPr>
              <w:pStyle w:val="2"/>
              <w:ind w:left="0" w:leftChars="0" w:firstLine="0" w:firstLineChars="0"/>
              <w:jc w:val="center"/>
              <w:rPr>
                <w:rFonts w:hint="eastAsia"/>
                <w:vertAlign w:val="baseline"/>
                <w:lang w:val="en-US" w:eastAsia="zh-CN"/>
              </w:rPr>
            </w:pPr>
          </w:p>
          <w:p w14:paraId="57335F9E">
            <w:pPr>
              <w:pStyle w:val="2"/>
              <w:ind w:left="0" w:leftChars="0" w:firstLine="0" w:firstLineChars="0"/>
              <w:jc w:val="center"/>
              <w:rPr>
                <w:rFonts w:hint="eastAsia"/>
                <w:vertAlign w:val="baseline"/>
                <w:lang w:val="en-US" w:eastAsia="zh-CN"/>
              </w:rPr>
            </w:pPr>
          </w:p>
          <w:p w14:paraId="68E327B6">
            <w:pPr>
              <w:pStyle w:val="2"/>
              <w:ind w:left="0" w:leftChars="0" w:firstLine="0" w:firstLineChars="0"/>
              <w:jc w:val="center"/>
              <w:rPr>
                <w:rFonts w:hint="eastAsia"/>
                <w:vertAlign w:val="baseline"/>
                <w:lang w:val="en-US" w:eastAsia="zh-CN"/>
              </w:rPr>
            </w:pPr>
          </w:p>
          <w:p w14:paraId="2ACF7240">
            <w:pPr>
              <w:pStyle w:val="2"/>
              <w:ind w:left="0" w:leftChars="0" w:firstLine="0" w:firstLineChars="0"/>
              <w:jc w:val="center"/>
              <w:rPr>
                <w:rFonts w:hint="eastAsia"/>
                <w:vertAlign w:val="baseline"/>
                <w:lang w:val="en-US" w:eastAsia="zh-CN"/>
              </w:rPr>
            </w:pPr>
          </w:p>
          <w:p w14:paraId="72CCA9DA">
            <w:pPr>
              <w:pStyle w:val="2"/>
              <w:ind w:left="0" w:leftChars="0" w:firstLine="0" w:firstLineChars="0"/>
              <w:jc w:val="center"/>
              <w:rPr>
                <w:rFonts w:hint="eastAsia"/>
                <w:vertAlign w:val="baseline"/>
                <w:lang w:val="en-US" w:eastAsia="zh-CN"/>
              </w:rPr>
            </w:pPr>
          </w:p>
          <w:p w14:paraId="56D563DE">
            <w:pPr>
              <w:pStyle w:val="2"/>
              <w:ind w:left="0" w:leftChars="0" w:firstLine="0" w:firstLineChars="0"/>
              <w:jc w:val="center"/>
              <w:rPr>
                <w:rFonts w:hint="eastAsia"/>
                <w:vertAlign w:val="baseline"/>
                <w:lang w:val="en-US" w:eastAsia="zh-CN"/>
              </w:rPr>
            </w:pPr>
          </w:p>
          <w:p w14:paraId="465DD4E5">
            <w:pPr>
              <w:pStyle w:val="2"/>
              <w:ind w:left="0" w:leftChars="0" w:firstLine="0" w:firstLineChars="0"/>
              <w:jc w:val="center"/>
              <w:rPr>
                <w:rFonts w:hint="eastAsia"/>
                <w:vertAlign w:val="baseline"/>
                <w:lang w:val="en-US" w:eastAsia="zh-CN"/>
              </w:rPr>
            </w:pPr>
          </w:p>
          <w:p w14:paraId="3CC28DA5">
            <w:pPr>
              <w:pStyle w:val="2"/>
              <w:ind w:left="0" w:leftChars="0" w:firstLine="0" w:firstLineChars="0"/>
              <w:jc w:val="center"/>
              <w:rPr>
                <w:rFonts w:hint="default" w:eastAsia="仿宋_GB2312"/>
                <w:vertAlign w:val="baseline"/>
                <w:lang w:val="en-US" w:eastAsia="zh-CN"/>
              </w:rPr>
            </w:pPr>
            <w:r>
              <w:rPr>
                <w:rFonts w:hint="eastAsia"/>
                <w:vertAlign w:val="baseline"/>
                <w:lang w:val="en-US" w:eastAsia="zh-CN"/>
              </w:rPr>
              <w:t>任务列表</w:t>
            </w:r>
          </w:p>
        </w:tc>
        <w:tc>
          <w:tcPr>
            <w:tcW w:w="1847" w:type="dxa"/>
            <w:noWrap w:val="0"/>
            <w:vAlign w:val="top"/>
          </w:tcPr>
          <w:p w14:paraId="2EF1C618">
            <w:pPr>
              <w:pStyle w:val="2"/>
              <w:ind w:left="0" w:leftChars="0" w:firstLine="0" w:firstLineChars="0"/>
              <w:jc w:val="left"/>
              <w:rPr>
                <w:rFonts w:hint="default" w:eastAsia="仿宋_GB2312"/>
                <w:vertAlign w:val="baseline"/>
                <w:lang w:val="en-US" w:eastAsia="zh-CN"/>
              </w:rPr>
            </w:pPr>
            <w:r>
              <w:rPr>
                <w:rFonts w:hint="eastAsia"/>
                <w:vertAlign w:val="baseline"/>
                <w:lang w:val="en-US" w:eastAsia="zh-CN"/>
              </w:rPr>
              <w:t>第三方单位导入</w:t>
            </w:r>
          </w:p>
        </w:tc>
        <w:tc>
          <w:tcPr>
            <w:tcW w:w="2141" w:type="dxa"/>
            <w:noWrap w:val="0"/>
            <w:vAlign w:val="top"/>
          </w:tcPr>
          <w:p w14:paraId="48199ABD">
            <w:pPr>
              <w:pStyle w:val="2"/>
              <w:ind w:left="0" w:leftChars="0" w:firstLine="0" w:firstLineChars="0"/>
              <w:jc w:val="left"/>
              <w:rPr>
                <w:rFonts w:hint="default" w:eastAsia="仿宋_GB2312"/>
                <w:vertAlign w:val="baseline"/>
                <w:lang w:val="en-US" w:eastAsia="zh-CN"/>
              </w:rPr>
            </w:pPr>
            <w:r>
              <w:rPr>
                <w:rFonts w:hint="eastAsia"/>
                <w:vertAlign w:val="baseline"/>
                <w:lang w:val="en-US" w:eastAsia="zh-CN"/>
              </w:rPr>
              <w:t>单位资产系统与资采通网络不通情况下：单位资产系统根据资采通sdk生成业务上报文件，通过离线方式手动将业务上报文件导入资采通。</w:t>
            </w:r>
          </w:p>
        </w:tc>
      </w:tr>
      <w:tr w14:paraId="1E55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728FC73">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B30E8FE">
            <w:pPr>
              <w:pStyle w:val="2"/>
              <w:jc w:val="left"/>
              <w:rPr>
                <w:rFonts w:hint="eastAsia" w:cs="Times New Roman"/>
                <w:vertAlign w:val="baseline"/>
              </w:rPr>
            </w:pPr>
          </w:p>
        </w:tc>
        <w:tc>
          <w:tcPr>
            <w:tcW w:w="1402" w:type="dxa"/>
            <w:vMerge w:val="continue"/>
            <w:noWrap w:val="0"/>
            <w:vAlign w:val="top"/>
          </w:tcPr>
          <w:p w14:paraId="62783D94">
            <w:pPr>
              <w:pStyle w:val="2"/>
              <w:jc w:val="left"/>
              <w:rPr>
                <w:rFonts w:hint="eastAsia" w:cs="Times New Roman"/>
                <w:vertAlign w:val="baseline"/>
              </w:rPr>
            </w:pPr>
          </w:p>
        </w:tc>
        <w:tc>
          <w:tcPr>
            <w:tcW w:w="1847" w:type="dxa"/>
            <w:noWrap w:val="0"/>
            <w:vAlign w:val="top"/>
          </w:tcPr>
          <w:p w14:paraId="6394479F">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离线导出</w:t>
            </w:r>
          </w:p>
        </w:tc>
        <w:tc>
          <w:tcPr>
            <w:tcW w:w="2141" w:type="dxa"/>
            <w:noWrap w:val="0"/>
            <w:vAlign w:val="top"/>
          </w:tcPr>
          <w:p w14:paraId="6F607C74">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在单位资采通系统与财政网络不通的情况下，支持将上报状态为“校验成功”的单个任务导出为离线上报文件，通过线下文件传输方式完成任务上报。</w:t>
            </w:r>
          </w:p>
        </w:tc>
      </w:tr>
      <w:tr w14:paraId="78CC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AD05616">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E623093">
            <w:pPr>
              <w:pStyle w:val="2"/>
              <w:jc w:val="left"/>
              <w:rPr>
                <w:rFonts w:hint="eastAsia" w:cs="Times New Roman"/>
                <w:vertAlign w:val="baseline"/>
              </w:rPr>
            </w:pPr>
          </w:p>
        </w:tc>
        <w:tc>
          <w:tcPr>
            <w:tcW w:w="1402" w:type="dxa"/>
            <w:vMerge w:val="continue"/>
            <w:noWrap w:val="0"/>
            <w:vAlign w:val="top"/>
          </w:tcPr>
          <w:p w14:paraId="13B25DE1">
            <w:pPr>
              <w:pStyle w:val="2"/>
              <w:jc w:val="left"/>
              <w:rPr>
                <w:rFonts w:hint="eastAsia" w:cs="Times New Roman"/>
                <w:vertAlign w:val="baseline"/>
              </w:rPr>
            </w:pPr>
          </w:p>
        </w:tc>
        <w:tc>
          <w:tcPr>
            <w:tcW w:w="1847" w:type="dxa"/>
            <w:noWrap w:val="0"/>
            <w:vAlign w:val="top"/>
          </w:tcPr>
          <w:p w14:paraId="0C0515BB">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财政处理结果导入</w:t>
            </w:r>
          </w:p>
        </w:tc>
        <w:tc>
          <w:tcPr>
            <w:tcW w:w="2141" w:type="dxa"/>
            <w:noWrap w:val="0"/>
            <w:vAlign w:val="top"/>
          </w:tcPr>
          <w:p w14:paraId="3F05A24B">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在单位资采通系统与财政网络不通情况下：将财政对上报任务的处理结果，以离线文件的方式导入单位资采通系统。</w:t>
            </w:r>
          </w:p>
        </w:tc>
      </w:tr>
      <w:tr w14:paraId="3850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4EFFC16">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F5F384A">
            <w:pPr>
              <w:pStyle w:val="2"/>
              <w:jc w:val="left"/>
              <w:rPr>
                <w:rFonts w:hint="eastAsia" w:cs="Times New Roman"/>
                <w:vertAlign w:val="baseline"/>
              </w:rPr>
            </w:pPr>
          </w:p>
        </w:tc>
        <w:tc>
          <w:tcPr>
            <w:tcW w:w="1402" w:type="dxa"/>
            <w:vMerge w:val="continue"/>
            <w:noWrap w:val="0"/>
            <w:vAlign w:val="top"/>
          </w:tcPr>
          <w:p w14:paraId="2B066FE8">
            <w:pPr>
              <w:pStyle w:val="2"/>
              <w:jc w:val="left"/>
              <w:rPr>
                <w:rFonts w:hint="eastAsia" w:cs="Times New Roman"/>
                <w:vertAlign w:val="baseline"/>
              </w:rPr>
            </w:pPr>
          </w:p>
        </w:tc>
        <w:tc>
          <w:tcPr>
            <w:tcW w:w="1847" w:type="dxa"/>
            <w:noWrap w:val="0"/>
            <w:vAlign w:val="top"/>
          </w:tcPr>
          <w:p w14:paraId="6751889C">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任务列表查询</w:t>
            </w:r>
          </w:p>
        </w:tc>
        <w:tc>
          <w:tcPr>
            <w:tcW w:w="2141" w:type="dxa"/>
            <w:noWrap w:val="0"/>
            <w:vAlign w:val="top"/>
          </w:tcPr>
          <w:p w14:paraId="7DECE8F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根据接收时间范围、上报状态、上传方式作为查询条件，查询展示数据上报任务查询。查询结果根据任务展示：单位名称、上报状态、单据数量、卡片数量等信息。</w:t>
            </w:r>
          </w:p>
        </w:tc>
      </w:tr>
      <w:tr w14:paraId="28D6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2261CDC">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0E761828">
            <w:pPr>
              <w:pStyle w:val="2"/>
              <w:jc w:val="left"/>
              <w:rPr>
                <w:rFonts w:hint="eastAsia" w:cs="Times New Roman"/>
                <w:vertAlign w:val="baseline"/>
              </w:rPr>
            </w:pPr>
          </w:p>
        </w:tc>
        <w:tc>
          <w:tcPr>
            <w:tcW w:w="1402" w:type="dxa"/>
            <w:vMerge w:val="continue"/>
            <w:noWrap w:val="0"/>
            <w:vAlign w:val="top"/>
          </w:tcPr>
          <w:p w14:paraId="46E4D00D">
            <w:pPr>
              <w:pStyle w:val="2"/>
              <w:jc w:val="left"/>
              <w:rPr>
                <w:rFonts w:hint="eastAsia" w:cs="Times New Roman"/>
                <w:vertAlign w:val="baseline"/>
              </w:rPr>
            </w:pPr>
          </w:p>
        </w:tc>
        <w:tc>
          <w:tcPr>
            <w:tcW w:w="1847" w:type="dxa"/>
            <w:noWrap w:val="0"/>
            <w:vAlign w:val="top"/>
          </w:tcPr>
          <w:p w14:paraId="74143CD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单次任务错误报告下载或错误日志查看</w:t>
            </w:r>
          </w:p>
        </w:tc>
        <w:tc>
          <w:tcPr>
            <w:tcW w:w="2141" w:type="dxa"/>
            <w:noWrap w:val="0"/>
            <w:vAlign w:val="top"/>
          </w:tcPr>
          <w:p w14:paraId="6655BCB0">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通过excel表格形式下载导出单次任务错误报告，报告内包含信息卡与业务单据的具体错误信息描述；在线查看本次任务错误日志。</w:t>
            </w:r>
          </w:p>
        </w:tc>
      </w:tr>
      <w:tr w14:paraId="557F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2F950C1">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07949B69">
            <w:pPr>
              <w:pStyle w:val="2"/>
              <w:jc w:val="left"/>
              <w:rPr>
                <w:rFonts w:hint="eastAsia" w:cs="Times New Roman"/>
                <w:vertAlign w:val="baseline"/>
              </w:rPr>
            </w:pPr>
          </w:p>
        </w:tc>
        <w:tc>
          <w:tcPr>
            <w:tcW w:w="1402" w:type="dxa"/>
            <w:vMerge w:val="continue"/>
            <w:noWrap w:val="0"/>
            <w:vAlign w:val="top"/>
          </w:tcPr>
          <w:p w14:paraId="1558302D">
            <w:pPr>
              <w:pStyle w:val="2"/>
              <w:jc w:val="left"/>
              <w:rPr>
                <w:rFonts w:hint="eastAsia" w:cs="Times New Roman"/>
                <w:vertAlign w:val="baseline"/>
              </w:rPr>
            </w:pPr>
          </w:p>
        </w:tc>
        <w:tc>
          <w:tcPr>
            <w:tcW w:w="1847" w:type="dxa"/>
            <w:noWrap w:val="0"/>
            <w:vAlign w:val="top"/>
          </w:tcPr>
          <w:p w14:paraId="17336D74">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单次任务详情查看</w:t>
            </w:r>
          </w:p>
        </w:tc>
        <w:tc>
          <w:tcPr>
            <w:tcW w:w="2141" w:type="dxa"/>
            <w:noWrap w:val="0"/>
            <w:vAlign w:val="top"/>
          </w:tcPr>
          <w:p w14:paraId="04EDCEC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查询单次任务详情，包含：任务ID、文件大小、上报数据总数量及其中错误数据量。</w:t>
            </w:r>
          </w:p>
        </w:tc>
      </w:tr>
      <w:tr w14:paraId="5B31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C107C72">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1838C6E">
            <w:pPr>
              <w:pStyle w:val="2"/>
              <w:jc w:val="left"/>
              <w:rPr>
                <w:rFonts w:hint="eastAsia" w:cs="Times New Roman"/>
                <w:vertAlign w:val="baseline"/>
              </w:rPr>
            </w:pPr>
          </w:p>
        </w:tc>
        <w:tc>
          <w:tcPr>
            <w:tcW w:w="1402" w:type="dxa"/>
            <w:vMerge w:val="continue"/>
            <w:noWrap w:val="0"/>
            <w:vAlign w:val="top"/>
          </w:tcPr>
          <w:p w14:paraId="1C318B5A">
            <w:pPr>
              <w:pStyle w:val="2"/>
              <w:jc w:val="left"/>
              <w:rPr>
                <w:rFonts w:hint="eastAsia" w:cs="Times New Roman"/>
                <w:vertAlign w:val="baseline"/>
              </w:rPr>
            </w:pPr>
          </w:p>
        </w:tc>
        <w:tc>
          <w:tcPr>
            <w:tcW w:w="1847" w:type="dxa"/>
            <w:noWrap w:val="0"/>
            <w:vAlign w:val="top"/>
          </w:tcPr>
          <w:p w14:paraId="178B71E7">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单次任务删除</w:t>
            </w:r>
          </w:p>
        </w:tc>
        <w:tc>
          <w:tcPr>
            <w:tcW w:w="2141" w:type="dxa"/>
            <w:noWrap w:val="0"/>
            <w:vAlign w:val="top"/>
          </w:tcPr>
          <w:p w14:paraId="043050AD">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删除本次上报任务。</w:t>
            </w:r>
          </w:p>
        </w:tc>
      </w:tr>
      <w:tr w14:paraId="15CC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1D2859C">
            <w:pPr>
              <w:pStyle w:val="2"/>
              <w:numPr>
                <w:ilvl w:val="0"/>
                <w:numId w:val="1"/>
              </w:numPr>
              <w:ind w:left="425" w:leftChars="0" w:hanging="425" w:firstLineChars="0"/>
              <w:jc w:val="center"/>
              <w:rPr>
                <w:rFonts w:hint="eastAsia" w:cs="Times New Roman"/>
                <w:vertAlign w:val="baseline"/>
              </w:rPr>
            </w:pPr>
          </w:p>
        </w:tc>
        <w:tc>
          <w:tcPr>
            <w:tcW w:w="1504" w:type="dxa"/>
            <w:vMerge w:val="restart"/>
            <w:noWrap w:val="0"/>
            <w:vAlign w:val="top"/>
          </w:tcPr>
          <w:p w14:paraId="22EE7A6E">
            <w:pPr>
              <w:pStyle w:val="2"/>
              <w:ind w:left="0" w:leftChars="0" w:firstLine="0" w:firstLineChars="0"/>
              <w:jc w:val="center"/>
              <w:rPr>
                <w:rFonts w:hint="eastAsia" w:cs="Times New Roman"/>
                <w:vertAlign w:val="baseline"/>
                <w:lang w:val="en-US" w:eastAsia="zh-CN"/>
              </w:rPr>
            </w:pPr>
          </w:p>
          <w:p w14:paraId="0F73209E">
            <w:pPr>
              <w:pStyle w:val="2"/>
              <w:ind w:left="0" w:leftChars="0" w:firstLine="0" w:firstLineChars="0"/>
              <w:jc w:val="center"/>
              <w:rPr>
                <w:rFonts w:hint="eastAsia" w:cs="Times New Roman"/>
                <w:vertAlign w:val="baseline"/>
                <w:lang w:val="en-US" w:eastAsia="zh-CN"/>
              </w:rPr>
            </w:pPr>
          </w:p>
          <w:p w14:paraId="03EF0954">
            <w:pPr>
              <w:pStyle w:val="2"/>
              <w:ind w:left="0" w:leftChars="0" w:firstLine="0" w:firstLineChars="0"/>
              <w:jc w:val="center"/>
              <w:rPr>
                <w:rFonts w:hint="eastAsia" w:cs="Times New Roman"/>
                <w:vertAlign w:val="baseline"/>
                <w:lang w:val="en-US" w:eastAsia="zh-CN"/>
              </w:rPr>
            </w:pPr>
          </w:p>
          <w:p w14:paraId="318CB318">
            <w:pPr>
              <w:pStyle w:val="2"/>
              <w:ind w:left="0" w:leftChars="0" w:firstLine="0" w:firstLineChars="0"/>
              <w:jc w:val="center"/>
              <w:rPr>
                <w:rFonts w:hint="eastAsia" w:cs="Times New Roman"/>
                <w:vertAlign w:val="baseline"/>
                <w:lang w:val="en-US" w:eastAsia="zh-CN"/>
              </w:rPr>
            </w:pPr>
          </w:p>
          <w:p w14:paraId="47110E07">
            <w:pPr>
              <w:pStyle w:val="2"/>
              <w:ind w:left="0" w:leftChars="0" w:firstLine="0" w:firstLineChars="0"/>
              <w:jc w:val="center"/>
              <w:rPr>
                <w:rFonts w:hint="eastAsia" w:cs="Times New Roman"/>
                <w:vertAlign w:val="baseline"/>
                <w:lang w:val="en-US" w:eastAsia="zh-CN"/>
              </w:rPr>
            </w:pPr>
          </w:p>
          <w:p w14:paraId="5CBF1254">
            <w:pPr>
              <w:pStyle w:val="2"/>
              <w:ind w:left="0" w:leftChars="0" w:firstLine="0" w:firstLineChars="0"/>
              <w:jc w:val="center"/>
              <w:rPr>
                <w:rFonts w:hint="eastAsia" w:cs="Times New Roman"/>
                <w:vertAlign w:val="baseline"/>
                <w:lang w:val="en-US" w:eastAsia="zh-CN"/>
              </w:rPr>
            </w:pPr>
          </w:p>
          <w:p w14:paraId="612F27BE">
            <w:pPr>
              <w:pStyle w:val="2"/>
              <w:ind w:left="0" w:leftChars="0" w:firstLine="0" w:firstLineChars="0"/>
              <w:jc w:val="center"/>
              <w:rPr>
                <w:rFonts w:hint="eastAsia" w:cs="Times New Roman"/>
                <w:vertAlign w:val="baseline"/>
                <w:lang w:val="en-US" w:eastAsia="zh-CN"/>
              </w:rPr>
            </w:pPr>
          </w:p>
          <w:p w14:paraId="28FC571D">
            <w:pPr>
              <w:pStyle w:val="2"/>
              <w:ind w:left="0" w:leftChars="0" w:firstLine="0" w:firstLineChars="0"/>
              <w:jc w:val="center"/>
              <w:rPr>
                <w:rFonts w:hint="eastAsia" w:cs="Times New Roman"/>
                <w:vertAlign w:val="baseline"/>
                <w:lang w:val="en-US" w:eastAsia="zh-CN"/>
              </w:rPr>
            </w:pPr>
          </w:p>
          <w:p w14:paraId="0E02832E">
            <w:pPr>
              <w:pStyle w:val="2"/>
              <w:ind w:left="0" w:leftChars="0" w:firstLine="0" w:firstLineChars="0"/>
              <w:jc w:val="center"/>
              <w:rPr>
                <w:rFonts w:hint="eastAsia" w:cs="Times New Roman"/>
                <w:vertAlign w:val="baseline"/>
                <w:lang w:val="en-US" w:eastAsia="zh-CN"/>
              </w:rPr>
            </w:pPr>
          </w:p>
          <w:p w14:paraId="43A7F06B">
            <w:pPr>
              <w:pStyle w:val="2"/>
              <w:ind w:left="0" w:leftChars="0" w:firstLine="0" w:firstLineChars="0"/>
              <w:jc w:val="center"/>
              <w:rPr>
                <w:rFonts w:hint="eastAsia" w:cs="Times New Roman"/>
                <w:vertAlign w:val="baseline"/>
                <w:lang w:val="en-US" w:eastAsia="zh-CN"/>
              </w:rPr>
            </w:pPr>
          </w:p>
          <w:p w14:paraId="5B80CC47">
            <w:pPr>
              <w:pStyle w:val="2"/>
              <w:ind w:left="0" w:leftChars="0" w:firstLine="0" w:firstLineChars="0"/>
              <w:jc w:val="center"/>
              <w:rPr>
                <w:rFonts w:hint="eastAsia" w:cs="Times New Roman"/>
                <w:vertAlign w:val="baseline"/>
                <w:lang w:val="en-US" w:eastAsia="zh-CN"/>
              </w:rPr>
            </w:pPr>
          </w:p>
          <w:p w14:paraId="163C0FB2">
            <w:pPr>
              <w:pStyle w:val="2"/>
              <w:ind w:left="0" w:leftChars="0" w:firstLine="0" w:firstLineChars="0"/>
              <w:jc w:val="center"/>
              <w:rPr>
                <w:rFonts w:hint="eastAsia" w:cs="Times New Roman"/>
                <w:vertAlign w:val="baseline"/>
                <w:lang w:val="en-US" w:eastAsia="zh-CN"/>
              </w:rPr>
            </w:pPr>
          </w:p>
          <w:p w14:paraId="40A4D723">
            <w:pPr>
              <w:pStyle w:val="2"/>
              <w:ind w:left="0" w:leftChars="0" w:firstLine="0" w:firstLineChars="0"/>
              <w:jc w:val="center"/>
              <w:rPr>
                <w:rFonts w:hint="eastAsia" w:cs="Times New Roman"/>
                <w:vertAlign w:val="baseline"/>
                <w:lang w:val="en-US" w:eastAsia="zh-CN"/>
              </w:rPr>
            </w:pPr>
          </w:p>
          <w:p w14:paraId="3336C7F3">
            <w:pPr>
              <w:pStyle w:val="2"/>
              <w:ind w:left="0" w:leftChars="0" w:firstLine="0" w:firstLineChars="0"/>
              <w:jc w:val="center"/>
              <w:rPr>
                <w:rFonts w:hint="eastAsia" w:cs="Times New Roman"/>
                <w:vertAlign w:val="baseline"/>
                <w:lang w:val="en-US" w:eastAsia="zh-CN"/>
              </w:rPr>
            </w:pPr>
          </w:p>
          <w:p w14:paraId="0E508510">
            <w:pPr>
              <w:pStyle w:val="2"/>
              <w:ind w:left="0" w:leftChars="0" w:firstLine="0" w:firstLineChars="0"/>
              <w:jc w:val="center"/>
              <w:rPr>
                <w:rFonts w:hint="default" w:cs="Times New Roman"/>
                <w:vertAlign w:val="baseline"/>
                <w:lang w:val="en-US" w:eastAsia="zh-CN"/>
              </w:rPr>
            </w:pPr>
            <w:r>
              <w:rPr>
                <w:rFonts w:hint="eastAsia" w:cs="Times New Roman"/>
                <w:vertAlign w:val="baseline"/>
                <w:lang w:val="en-US" w:eastAsia="zh-CN"/>
              </w:rPr>
              <w:t>上报审批</w:t>
            </w:r>
          </w:p>
        </w:tc>
        <w:tc>
          <w:tcPr>
            <w:tcW w:w="1402" w:type="dxa"/>
            <w:vMerge w:val="restart"/>
            <w:noWrap w:val="0"/>
            <w:vAlign w:val="top"/>
          </w:tcPr>
          <w:p w14:paraId="2D8DD4AC">
            <w:pPr>
              <w:pStyle w:val="2"/>
              <w:ind w:left="0" w:leftChars="0" w:firstLine="0" w:firstLineChars="0"/>
              <w:jc w:val="left"/>
              <w:rPr>
                <w:rFonts w:hint="eastAsia" w:cs="Times New Roman"/>
                <w:vertAlign w:val="baseline"/>
                <w:lang w:val="en-US" w:eastAsia="zh-CN"/>
              </w:rPr>
            </w:pPr>
          </w:p>
          <w:p w14:paraId="2DBDB174">
            <w:pPr>
              <w:pStyle w:val="2"/>
              <w:ind w:left="0" w:leftChars="0" w:firstLine="0" w:firstLineChars="0"/>
              <w:jc w:val="left"/>
              <w:rPr>
                <w:rFonts w:hint="eastAsia" w:cs="Times New Roman"/>
                <w:vertAlign w:val="baseline"/>
                <w:lang w:val="en-US" w:eastAsia="zh-CN"/>
              </w:rPr>
            </w:pPr>
          </w:p>
          <w:p w14:paraId="083D505B">
            <w:pPr>
              <w:pStyle w:val="2"/>
              <w:ind w:left="0" w:leftChars="0" w:firstLine="0" w:firstLineChars="0"/>
              <w:jc w:val="left"/>
              <w:rPr>
                <w:rFonts w:hint="eastAsia" w:cs="Times New Roman"/>
                <w:vertAlign w:val="baseline"/>
                <w:lang w:val="en-US" w:eastAsia="zh-CN"/>
              </w:rPr>
            </w:pPr>
          </w:p>
          <w:p w14:paraId="2CC3B4F4">
            <w:pPr>
              <w:pStyle w:val="2"/>
              <w:ind w:left="0" w:leftChars="0" w:firstLine="0" w:firstLineChars="0"/>
              <w:jc w:val="left"/>
              <w:rPr>
                <w:rFonts w:hint="eastAsia" w:cs="Times New Roman"/>
                <w:vertAlign w:val="baseline"/>
                <w:lang w:val="en-US" w:eastAsia="zh-CN"/>
              </w:rPr>
            </w:pPr>
          </w:p>
          <w:p w14:paraId="6A0FBA40">
            <w:pPr>
              <w:pStyle w:val="2"/>
              <w:ind w:left="0" w:leftChars="0" w:firstLine="0" w:firstLineChars="0"/>
              <w:jc w:val="left"/>
              <w:rPr>
                <w:rFonts w:hint="eastAsia" w:cs="Times New Roman"/>
                <w:vertAlign w:val="baseline"/>
                <w:lang w:val="en-US" w:eastAsia="zh-CN"/>
              </w:rPr>
            </w:pPr>
          </w:p>
          <w:p w14:paraId="186FF09B">
            <w:pPr>
              <w:pStyle w:val="2"/>
              <w:ind w:left="0" w:leftChars="0" w:firstLine="0" w:firstLineChars="0"/>
              <w:jc w:val="left"/>
              <w:rPr>
                <w:rFonts w:hint="eastAsia" w:cs="Times New Roman"/>
                <w:vertAlign w:val="baseline"/>
                <w:lang w:val="en-US" w:eastAsia="zh-CN"/>
              </w:rPr>
            </w:pPr>
          </w:p>
          <w:p w14:paraId="6394AD1E">
            <w:pPr>
              <w:pStyle w:val="2"/>
              <w:ind w:left="0" w:leftChars="0" w:firstLine="0" w:firstLineChars="0"/>
              <w:jc w:val="left"/>
              <w:rPr>
                <w:rFonts w:hint="eastAsia" w:cs="Times New Roman"/>
                <w:vertAlign w:val="baseline"/>
                <w:lang w:val="en-US" w:eastAsia="zh-CN"/>
              </w:rPr>
            </w:pPr>
          </w:p>
          <w:p w14:paraId="359151FF">
            <w:pPr>
              <w:pStyle w:val="2"/>
              <w:ind w:left="0" w:leftChars="0" w:firstLine="0" w:firstLineChars="0"/>
              <w:jc w:val="left"/>
              <w:rPr>
                <w:rFonts w:hint="eastAsia" w:cs="Times New Roman"/>
                <w:vertAlign w:val="baseline"/>
                <w:lang w:val="en-US" w:eastAsia="zh-CN"/>
              </w:rPr>
            </w:pPr>
          </w:p>
          <w:p w14:paraId="144F84A5">
            <w:pPr>
              <w:pStyle w:val="2"/>
              <w:ind w:left="0" w:leftChars="0" w:firstLine="0" w:firstLineChars="0"/>
              <w:jc w:val="left"/>
              <w:rPr>
                <w:rFonts w:hint="eastAsia" w:cs="Times New Roman"/>
                <w:vertAlign w:val="baseline"/>
                <w:lang w:val="en-US" w:eastAsia="zh-CN"/>
              </w:rPr>
            </w:pPr>
          </w:p>
          <w:p w14:paraId="4A7850AF">
            <w:pPr>
              <w:pStyle w:val="2"/>
              <w:ind w:left="0" w:leftChars="0" w:firstLine="0" w:firstLineChars="0"/>
              <w:jc w:val="left"/>
              <w:rPr>
                <w:rFonts w:hint="eastAsia" w:cs="Times New Roman"/>
                <w:vertAlign w:val="baseline"/>
                <w:lang w:val="en-US" w:eastAsia="zh-CN"/>
              </w:rPr>
            </w:pPr>
          </w:p>
          <w:p w14:paraId="351AE9E4">
            <w:pPr>
              <w:pStyle w:val="2"/>
              <w:ind w:left="0" w:leftChars="0" w:firstLine="0" w:firstLineChars="0"/>
              <w:jc w:val="left"/>
              <w:rPr>
                <w:rFonts w:hint="eastAsia" w:cs="Times New Roman"/>
                <w:vertAlign w:val="baseline"/>
                <w:lang w:val="en-US" w:eastAsia="zh-CN"/>
              </w:rPr>
            </w:pPr>
          </w:p>
          <w:p w14:paraId="49FA6CED">
            <w:pPr>
              <w:pStyle w:val="2"/>
              <w:ind w:left="0" w:leftChars="0" w:firstLine="0" w:firstLineChars="0"/>
              <w:jc w:val="left"/>
              <w:rPr>
                <w:rFonts w:hint="eastAsia" w:cs="Times New Roman"/>
                <w:vertAlign w:val="baseline"/>
                <w:lang w:val="en-US" w:eastAsia="zh-CN"/>
              </w:rPr>
            </w:pPr>
          </w:p>
          <w:p w14:paraId="5522EBA3">
            <w:pPr>
              <w:pStyle w:val="2"/>
              <w:ind w:left="0" w:leftChars="0" w:firstLine="0" w:firstLineChars="0"/>
              <w:jc w:val="left"/>
              <w:rPr>
                <w:rFonts w:hint="eastAsia" w:cs="Times New Roman"/>
                <w:vertAlign w:val="baseline"/>
                <w:lang w:val="en-US" w:eastAsia="zh-CN"/>
              </w:rPr>
            </w:pPr>
          </w:p>
          <w:p w14:paraId="04ACC777">
            <w:pPr>
              <w:pStyle w:val="2"/>
              <w:ind w:left="0" w:leftChars="0" w:firstLine="0" w:firstLineChars="0"/>
              <w:jc w:val="left"/>
              <w:rPr>
                <w:rFonts w:hint="eastAsia" w:cs="Times New Roman"/>
                <w:vertAlign w:val="baseline"/>
                <w:lang w:val="en-US" w:eastAsia="zh-CN"/>
              </w:rPr>
            </w:pPr>
          </w:p>
          <w:p w14:paraId="61F43C6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单据列表</w:t>
            </w:r>
          </w:p>
        </w:tc>
        <w:tc>
          <w:tcPr>
            <w:tcW w:w="1847" w:type="dxa"/>
            <w:noWrap w:val="0"/>
            <w:vAlign w:val="top"/>
          </w:tcPr>
          <w:p w14:paraId="11D77FEF">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上传待审批单据</w:t>
            </w:r>
          </w:p>
        </w:tc>
        <w:tc>
          <w:tcPr>
            <w:tcW w:w="2141" w:type="dxa"/>
            <w:noWrap w:val="0"/>
            <w:vAlign w:val="top"/>
          </w:tcPr>
          <w:p w14:paraId="764D53FC">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在单位资产系统与资采通系统网络不通情况下：单位资产系统通过sdk生成业务上报文件，以离线的方式手动将业务上报文件导入资采通系统。</w:t>
            </w:r>
          </w:p>
        </w:tc>
      </w:tr>
      <w:tr w14:paraId="17FD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DECEAB7">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0A75539">
            <w:pPr>
              <w:pStyle w:val="2"/>
              <w:jc w:val="left"/>
              <w:rPr>
                <w:rFonts w:hint="eastAsia" w:cs="Times New Roman"/>
                <w:vertAlign w:val="baseline"/>
              </w:rPr>
            </w:pPr>
          </w:p>
        </w:tc>
        <w:tc>
          <w:tcPr>
            <w:tcW w:w="1402" w:type="dxa"/>
            <w:vMerge w:val="continue"/>
            <w:noWrap w:val="0"/>
            <w:vAlign w:val="top"/>
          </w:tcPr>
          <w:p w14:paraId="1F642997">
            <w:pPr>
              <w:pStyle w:val="2"/>
              <w:jc w:val="left"/>
              <w:rPr>
                <w:rFonts w:hint="eastAsia" w:cs="Times New Roman"/>
                <w:vertAlign w:val="baseline"/>
              </w:rPr>
            </w:pPr>
          </w:p>
        </w:tc>
        <w:tc>
          <w:tcPr>
            <w:tcW w:w="1847" w:type="dxa"/>
            <w:noWrap w:val="0"/>
            <w:vAlign w:val="top"/>
          </w:tcPr>
          <w:p w14:paraId="44E1E75F">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下载待审批单据</w:t>
            </w:r>
          </w:p>
        </w:tc>
        <w:tc>
          <w:tcPr>
            <w:tcW w:w="2141" w:type="dxa"/>
            <w:noWrap w:val="0"/>
            <w:vAlign w:val="top"/>
          </w:tcPr>
          <w:p w14:paraId="289D248B">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在资采通系统与财政网络不通的情况下：将资采通内待上传财政审批的单据，导出为离线上报文件，手动导入财政系统。</w:t>
            </w:r>
          </w:p>
        </w:tc>
      </w:tr>
      <w:tr w14:paraId="12F3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DA216AA">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49856E8">
            <w:pPr>
              <w:pStyle w:val="2"/>
              <w:jc w:val="left"/>
              <w:rPr>
                <w:rFonts w:hint="eastAsia" w:cs="Times New Roman"/>
                <w:vertAlign w:val="baseline"/>
              </w:rPr>
            </w:pPr>
          </w:p>
        </w:tc>
        <w:tc>
          <w:tcPr>
            <w:tcW w:w="1402" w:type="dxa"/>
            <w:vMerge w:val="continue"/>
            <w:noWrap w:val="0"/>
            <w:vAlign w:val="top"/>
          </w:tcPr>
          <w:p w14:paraId="2CABCF69">
            <w:pPr>
              <w:pStyle w:val="2"/>
              <w:jc w:val="left"/>
              <w:rPr>
                <w:rFonts w:hint="eastAsia" w:cs="Times New Roman"/>
                <w:vertAlign w:val="baseline"/>
              </w:rPr>
            </w:pPr>
          </w:p>
        </w:tc>
        <w:tc>
          <w:tcPr>
            <w:tcW w:w="1847" w:type="dxa"/>
            <w:noWrap w:val="0"/>
            <w:vAlign w:val="top"/>
          </w:tcPr>
          <w:p w14:paraId="115879E5">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上传财政审批结果</w:t>
            </w:r>
          </w:p>
        </w:tc>
        <w:tc>
          <w:tcPr>
            <w:tcW w:w="2141" w:type="dxa"/>
            <w:noWrap w:val="0"/>
            <w:vAlign w:val="top"/>
          </w:tcPr>
          <w:p w14:paraId="6C03C7BD">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在资采通系统与财政网络不通的情况下：手动将财政审批结果导出为离线文件，并导入资采通。</w:t>
            </w:r>
          </w:p>
        </w:tc>
      </w:tr>
      <w:tr w14:paraId="4514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20743CD">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8589BF7">
            <w:pPr>
              <w:pStyle w:val="2"/>
              <w:jc w:val="left"/>
              <w:rPr>
                <w:rFonts w:hint="eastAsia" w:cs="Times New Roman"/>
                <w:vertAlign w:val="baseline"/>
              </w:rPr>
            </w:pPr>
          </w:p>
        </w:tc>
        <w:tc>
          <w:tcPr>
            <w:tcW w:w="1402" w:type="dxa"/>
            <w:vMerge w:val="continue"/>
            <w:noWrap w:val="0"/>
            <w:vAlign w:val="top"/>
          </w:tcPr>
          <w:p w14:paraId="4F200656">
            <w:pPr>
              <w:pStyle w:val="2"/>
              <w:jc w:val="left"/>
              <w:rPr>
                <w:rFonts w:hint="eastAsia" w:cs="Times New Roman"/>
                <w:vertAlign w:val="baseline"/>
              </w:rPr>
            </w:pPr>
          </w:p>
        </w:tc>
        <w:tc>
          <w:tcPr>
            <w:tcW w:w="1847" w:type="dxa"/>
            <w:noWrap w:val="0"/>
            <w:vAlign w:val="top"/>
          </w:tcPr>
          <w:p w14:paraId="69894DD5">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下载财政待审批结果</w:t>
            </w:r>
          </w:p>
        </w:tc>
        <w:tc>
          <w:tcPr>
            <w:tcW w:w="2141" w:type="dxa"/>
            <w:noWrap w:val="0"/>
            <w:vAlign w:val="top"/>
          </w:tcPr>
          <w:p w14:paraId="36144763">
            <w:pPr>
              <w:pStyle w:val="2"/>
              <w:ind w:left="0" w:leftChars="0" w:firstLine="0" w:firstLineChars="0"/>
              <w:jc w:val="left"/>
              <w:rPr>
                <w:rFonts w:hint="default" w:cs="Times New Roman"/>
                <w:vertAlign w:val="baseline"/>
                <w:lang w:val="en-US"/>
              </w:rPr>
            </w:pPr>
            <w:r>
              <w:rPr>
                <w:rFonts w:hint="eastAsia" w:cs="Times New Roman"/>
                <w:vertAlign w:val="baseline"/>
                <w:lang w:val="en-US" w:eastAsia="zh-CN"/>
              </w:rPr>
              <w:t>在单位资产系统与资采通系统网络不通情况下：将财政审批结果从资采通系统内导出为离线文件，并手动导入单位资产系统，单位资产系统调用sdk解析财政处理结果，更新单据状态。</w:t>
            </w:r>
          </w:p>
        </w:tc>
      </w:tr>
      <w:tr w14:paraId="2B5D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2BB842F5">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2BB308A">
            <w:pPr>
              <w:pStyle w:val="2"/>
              <w:jc w:val="left"/>
              <w:rPr>
                <w:rFonts w:hint="eastAsia" w:cs="Times New Roman"/>
                <w:vertAlign w:val="baseline"/>
              </w:rPr>
            </w:pPr>
          </w:p>
        </w:tc>
        <w:tc>
          <w:tcPr>
            <w:tcW w:w="1402" w:type="dxa"/>
            <w:vMerge w:val="continue"/>
            <w:noWrap w:val="0"/>
            <w:vAlign w:val="top"/>
          </w:tcPr>
          <w:p w14:paraId="17958883">
            <w:pPr>
              <w:pStyle w:val="2"/>
              <w:jc w:val="left"/>
              <w:rPr>
                <w:rFonts w:hint="eastAsia" w:cs="Times New Roman"/>
                <w:vertAlign w:val="baseline"/>
              </w:rPr>
            </w:pPr>
          </w:p>
        </w:tc>
        <w:tc>
          <w:tcPr>
            <w:tcW w:w="1847" w:type="dxa"/>
            <w:noWrap w:val="0"/>
            <w:vAlign w:val="top"/>
          </w:tcPr>
          <w:p w14:paraId="7789699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单据列表查询</w:t>
            </w:r>
          </w:p>
        </w:tc>
        <w:tc>
          <w:tcPr>
            <w:tcW w:w="2141" w:type="dxa"/>
            <w:noWrap w:val="0"/>
            <w:vAlign w:val="top"/>
          </w:tcPr>
          <w:p w14:paraId="7617ACCD">
            <w:pPr>
              <w:pStyle w:val="2"/>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根据审批状态、单据编号、业务类型查询上报单据列表，查询结果包含：业务类型、单据编码、资产数量、资产总额、审批状态等信息。</w:t>
            </w:r>
          </w:p>
        </w:tc>
      </w:tr>
      <w:tr w14:paraId="639F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27CF353">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297FC10">
            <w:pPr>
              <w:pStyle w:val="2"/>
              <w:jc w:val="left"/>
              <w:rPr>
                <w:rFonts w:hint="eastAsia" w:cs="Times New Roman"/>
                <w:vertAlign w:val="baseline"/>
              </w:rPr>
            </w:pPr>
          </w:p>
        </w:tc>
        <w:tc>
          <w:tcPr>
            <w:tcW w:w="1402" w:type="dxa"/>
            <w:vMerge w:val="continue"/>
            <w:noWrap w:val="0"/>
            <w:vAlign w:val="top"/>
          </w:tcPr>
          <w:p w14:paraId="65C044F3">
            <w:pPr>
              <w:pStyle w:val="2"/>
              <w:jc w:val="left"/>
              <w:rPr>
                <w:rFonts w:hint="eastAsia" w:cs="Times New Roman"/>
                <w:vertAlign w:val="baseline"/>
              </w:rPr>
            </w:pPr>
          </w:p>
        </w:tc>
        <w:tc>
          <w:tcPr>
            <w:tcW w:w="1847" w:type="dxa"/>
            <w:noWrap w:val="0"/>
            <w:vAlign w:val="top"/>
          </w:tcPr>
          <w:p w14:paraId="5B534DF5">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单据详情查看</w:t>
            </w:r>
          </w:p>
        </w:tc>
        <w:tc>
          <w:tcPr>
            <w:tcW w:w="2141" w:type="dxa"/>
            <w:noWrap w:val="0"/>
            <w:vAlign w:val="top"/>
          </w:tcPr>
          <w:p w14:paraId="3104162C">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查询单据编号、经办人、办结时间以及单据对应的资产卡片详情等。</w:t>
            </w:r>
          </w:p>
        </w:tc>
      </w:tr>
      <w:tr w14:paraId="7DCB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862ADC3">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05FD1FEC">
            <w:pPr>
              <w:pStyle w:val="2"/>
              <w:jc w:val="left"/>
              <w:rPr>
                <w:rFonts w:hint="eastAsia" w:cs="Times New Roman"/>
                <w:vertAlign w:val="baseline"/>
              </w:rPr>
            </w:pPr>
          </w:p>
        </w:tc>
        <w:tc>
          <w:tcPr>
            <w:tcW w:w="1402" w:type="dxa"/>
            <w:vMerge w:val="continue"/>
            <w:noWrap w:val="0"/>
            <w:vAlign w:val="top"/>
          </w:tcPr>
          <w:p w14:paraId="6C68E445">
            <w:pPr>
              <w:pStyle w:val="2"/>
              <w:jc w:val="left"/>
              <w:rPr>
                <w:rFonts w:hint="eastAsia" w:cs="Times New Roman"/>
                <w:vertAlign w:val="baseline"/>
              </w:rPr>
            </w:pPr>
          </w:p>
        </w:tc>
        <w:tc>
          <w:tcPr>
            <w:tcW w:w="1847" w:type="dxa"/>
            <w:noWrap w:val="0"/>
            <w:vAlign w:val="top"/>
          </w:tcPr>
          <w:p w14:paraId="76887370">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单据删除</w:t>
            </w:r>
          </w:p>
        </w:tc>
        <w:tc>
          <w:tcPr>
            <w:tcW w:w="2141" w:type="dxa"/>
            <w:noWrap w:val="0"/>
            <w:vAlign w:val="top"/>
          </w:tcPr>
          <w:p w14:paraId="2BFD91E6">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在资采通系统内删除单据。</w:t>
            </w:r>
          </w:p>
        </w:tc>
      </w:tr>
      <w:tr w14:paraId="0720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F637425">
            <w:pPr>
              <w:pStyle w:val="2"/>
              <w:numPr>
                <w:ilvl w:val="0"/>
                <w:numId w:val="1"/>
              </w:numPr>
              <w:ind w:left="425" w:leftChars="0" w:hanging="425" w:firstLineChars="0"/>
              <w:jc w:val="center"/>
              <w:rPr>
                <w:rFonts w:hint="eastAsia" w:cs="Times New Roman"/>
                <w:vertAlign w:val="baseline"/>
              </w:rPr>
            </w:pPr>
          </w:p>
        </w:tc>
        <w:tc>
          <w:tcPr>
            <w:tcW w:w="1504" w:type="dxa"/>
            <w:vMerge w:val="restart"/>
            <w:noWrap w:val="0"/>
            <w:vAlign w:val="top"/>
          </w:tcPr>
          <w:p w14:paraId="7E66A674">
            <w:pPr>
              <w:pStyle w:val="2"/>
              <w:ind w:left="0" w:leftChars="0" w:firstLine="0" w:firstLineChars="0"/>
              <w:jc w:val="center"/>
              <w:rPr>
                <w:rFonts w:hint="eastAsia" w:cs="Times New Roman"/>
                <w:vertAlign w:val="baseline"/>
                <w:lang w:val="en-US" w:eastAsia="zh-CN"/>
              </w:rPr>
            </w:pPr>
          </w:p>
          <w:p w14:paraId="1227DB38">
            <w:pPr>
              <w:pStyle w:val="2"/>
              <w:ind w:left="0" w:leftChars="0" w:firstLine="0" w:firstLineChars="0"/>
              <w:jc w:val="center"/>
              <w:rPr>
                <w:rFonts w:hint="eastAsia" w:cs="Times New Roman"/>
                <w:vertAlign w:val="baseline"/>
                <w:lang w:val="en-US" w:eastAsia="zh-CN"/>
              </w:rPr>
            </w:pPr>
          </w:p>
          <w:p w14:paraId="6A72ADFB">
            <w:pPr>
              <w:pStyle w:val="2"/>
              <w:ind w:left="0" w:leftChars="0" w:firstLine="0" w:firstLineChars="0"/>
              <w:jc w:val="center"/>
              <w:rPr>
                <w:rFonts w:hint="eastAsia" w:cs="Times New Roman"/>
                <w:vertAlign w:val="baseline"/>
                <w:lang w:val="en-US" w:eastAsia="zh-CN"/>
              </w:rPr>
            </w:pPr>
          </w:p>
          <w:p w14:paraId="3F0B116E">
            <w:pPr>
              <w:pStyle w:val="2"/>
              <w:ind w:left="0" w:leftChars="0" w:firstLine="0" w:firstLineChars="0"/>
              <w:jc w:val="center"/>
              <w:rPr>
                <w:rFonts w:hint="eastAsia" w:cs="Times New Roman"/>
                <w:vertAlign w:val="baseline"/>
                <w:lang w:val="en-US" w:eastAsia="zh-CN"/>
              </w:rPr>
            </w:pPr>
          </w:p>
          <w:p w14:paraId="59210647">
            <w:pPr>
              <w:pStyle w:val="2"/>
              <w:ind w:left="0" w:leftChars="0" w:firstLine="0" w:firstLineChars="0"/>
              <w:jc w:val="center"/>
              <w:rPr>
                <w:rFonts w:hint="eastAsia" w:cs="Times New Roman"/>
                <w:vertAlign w:val="baseline"/>
                <w:lang w:val="en-US" w:eastAsia="zh-CN"/>
              </w:rPr>
            </w:pPr>
          </w:p>
          <w:p w14:paraId="3FB4AA1F">
            <w:pPr>
              <w:pStyle w:val="2"/>
              <w:ind w:left="0" w:leftChars="0" w:firstLine="0" w:firstLineChars="0"/>
              <w:jc w:val="center"/>
              <w:rPr>
                <w:rFonts w:hint="eastAsia" w:cs="Times New Roman"/>
                <w:vertAlign w:val="baseline"/>
                <w:lang w:val="en-US" w:eastAsia="zh-CN"/>
              </w:rPr>
            </w:pPr>
          </w:p>
          <w:p w14:paraId="20E440AA">
            <w:pPr>
              <w:pStyle w:val="2"/>
              <w:ind w:left="0" w:leftChars="0" w:firstLine="0" w:firstLineChars="0"/>
              <w:jc w:val="center"/>
              <w:rPr>
                <w:rFonts w:hint="eastAsia" w:cs="Times New Roman"/>
                <w:vertAlign w:val="baseline"/>
                <w:lang w:val="en-US" w:eastAsia="zh-CN"/>
              </w:rPr>
            </w:pPr>
          </w:p>
          <w:p w14:paraId="7A7FAFE7">
            <w:pPr>
              <w:pStyle w:val="2"/>
              <w:ind w:left="0" w:leftChars="0" w:firstLine="0" w:firstLineChars="0"/>
              <w:jc w:val="center"/>
              <w:rPr>
                <w:rFonts w:hint="eastAsia" w:cs="Times New Roman"/>
                <w:vertAlign w:val="baseline"/>
                <w:lang w:val="en-US" w:eastAsia="zh-CN"/>
              </w:rPr>
            </w:pPr>
          </w:p>
          <w:p w14:paraId="18761B91">
            <w:pPr>
              <w:pStyle w:val="2"/>
              <w:ind w:left="0" w:leftChars="0" w:firstLine="0" w:firstLineChars="0"/>
              <w:jc w:val="center"/>
              <w:rPr>
                <w:rFonts w:hint="eastAsia" w:cs="Times New Roman"/>
                <w:vertAlign w:val="baseline"/>
                <w:lang w:val="en-US" w:eastAsia="zh-CN"/>
              </w:rPr>
            </w:pPr>
          </w:p>
          <w:p w14:paraId="20BFD773">
            <w:pPr>
              <w:pStyle w:val="2"/>
              <w:ind w:left="0" w:leftChars="0" w:firstLine="0" w:firstLineChars="0"/>
              <w:jc w:val="center"/>
              <w:rPr>
                <w:rFonts w:hint="eastAsia" w:cs="Times New Roman"/>
                <w:vertAlign w:val="baseline"/>
                <w:lang w:val="en-US" w:eastAsia="zh-CN"/>
              </w:rPr>
            </w:pPr>
          </w:p>
          <w:p w14:paraId="127BBAD0">
            <w:pPr>
              <w:pStyle w:val="2"/>
              <w:ind w:left="0" w:leftChars="0" w:firstLine="0" w:firstLineChars="0"/>
              <w:jc w:val="center"/>
              <w:rPr>
                <w:rFonts w:hint="eastAsia" w:cs="Times New Roman"/>
                <w:vertAlign w:val="baseline"/>
                <w:lang w:val="en-US" w:eastAsia="zh-CN"/>
              </w:rPr>
            </w:pPr>
          </w:p>
          <w:p w14:paraId="189B3B75">
            <w:pPr>
              <w:pStyle w:val="2"/>
              <w:ind w:left="0" w:leftChars="0" w:firstLine="0" w:firstLineChars="0"/>
              <w:jc w:val="center"/>
              <w:rPr>
                <w:rFonts w:hint="eastAsia" w:cs="Times New Roman"/>
                <w:vertAlign w:val="baseline"/>
                <w:lang w:val="en-US" w:eastAsia="zh-CN"/>
              </w:rPr>
            </w:pPr>
          </w:p>
          <w:p w14:paraId="4A36B1DC">
            <w:pPr>
              <w:pStyle w:val="2"/>
              <w:ind w:left="0" w:leftChars="0" w:firstLine="0" w:firstLineChars="0"/>
              <w:jc w:val="center"/>
              <w:rPr>
                <w:rFonts w:hint="eastAsia" w:cs="Times New Roman"/>
                <w:vertAlign w:val="baseline"/>
                <w:lang w:val="en-US" w:eastAsia="zh-CN"/>
              </w:rPr>
            </w:pPr>
          </w:p>
          <w:p w14:paraId="0CFCD0C6">
            <w:pPr>
              <w:pStyle w:val="2"/>
              <w:ind w:left="0" w:leftChars="0" w:firstLine="0" w:firstLineChars="0"/>
              <w:jc w:val="center"/>
              <w:rPr>
                <w:rFonts w:hint="eastAsia" w:cs="Times New Roman"/>
                <w:vertAlign w:val="baseline"/>
                <w:lang w:val="en-US" w:eastAsia="zh-CN"/>
              </w:rPr>
            </w:pPr>
          </w:p>
          <w:p w14:paraId="6B6F636E">
            <w:pPr>
              <w:pStyle w:val="2"/>
              <w:ind w:left="0" w:leftChars="0" w:firstLine="0" w:firstLineChars="0"/>
              <w:jc w:val="center"/>
              <w:rPr>
                <w:rFonts w:hint="default" w:eastAsia="仿宋_GB2312" w:cs="Times New Roman"/>
                <w:vertAlign w:val="baseline"/>
                <w:lang w:val="en-US" w:eastAsia="zh-CN"/>
              </w:rPr>
            </w:pPr>
            <w:r>
              <w:rPr>
                <w:rFonts w:hint="eastAsia" w:cs="Times New Roman"/>
                <w:vertAlign w:val="baseline"/>
                <w:lang w:val="en-US" w:eastAsia="zh-CN"/>
              </w:rPr>
              <w:t>后端接口服务</w:t>
            </w:r>
          </w:p>
        </w:tc>
        <w:tc>
          <w:tcPr>
            <w:tcW w:w="1402" w:type="dxa"/>
            <w:vMerge w:val="restart"/>
            <w:noWrap w:val="0"/>
            <w:vAlign w:val="top"/>
          </w:tcPr>
          <w:p w14:paraId="2EC84D5E">
            <w:pPr>
              <w:pStyle w:val="2"/>
              <w:jc w:val="left"/>
              <w:rPr>
                <w:rFonts w:hint="eastAsia" w:cs="Times New Roman"/>
                <w:vertAlign w:val="baseline"/>
              </w:rPr>
            </w:pPr>
          </w:p>
        </w:tc>
        <w:tc>
          <w:tcPr>
            <w:tcW w:w="1847" w:type="dxa"/>
            <w:noWrap w:val="0"/>
            <w:vAlign w:val="top"/>
          </w:tcPr>
          <w:p w14:paraId="1D6078EB">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验收入库</w:t>
            </w:r>
          </w:p>
        </w:tc>
        <w:tc>
          <w:tcPr>
            <w:tcW w:w="2141" w:type="dxa"/>
            <w:vMerge w:val="restart"/>
            <w:noWrap w:val="0"/>
            <w:vAlign w:val="top"/>
          </w:tcPr>
          <w:p w14:paraId="54BF0114">
            <w:pPr>
              <w:pStyle w:val="2"/>
              <w:ind w:left="0" w:leftChars="0" w:firstLine="0" w:firstLineChars="0"/>
              <w:jc w:val="left"/>
              <w:rPr>
                <w:rFonts w:hint="eastAsia" w:cs="Times New Roman"/>
                <w:vertAlign w:val="baseline"/>
                <w:lang w:val="en-US" w:eastAsia="zh-CN"/>
              </w:rPr>
            </w:pPr>
          </w:p>
          <w:p w14:paraId="7B7FF2F5">
            <w:pPr>
              <w:pStyle w:val="2"/>
              <w:ind w:left="0" w:leftChars="0" w:firstLine="0" w:firstLineChars="0"/>
              <w:jc w:val="left"/>
              <w:rPr>
                <w:rFonts w:hint="eastAsia" w:cs="Times New Roman"/>
                <w:vertAlign w:val="baseline"/>
                <w:lang w:val="en-US" w:eastAsia="zh-CN"/>
              </w:rPr>
            </w:pPr>
          </w:p>
          <w:p w14:paraId="1AA2A85C">
            <w:pPr>
              <w:pStyle w:val="2"/>
              <w:ind w:left="0" w:leftChars="0" w:firstLine="0" w:firstLineChars="0"/>
              <w:jc w:val="left"/>
              <w:rPr>
                <w:rFonts w:hint="eastAsia" w:cs="Times New Roman"/>
                <w:vertAlign w:val="baseline"/>
                <w:lang w:val="en-US" w:eastAsia="zh-CN"/>
              </w:rPr>
            </w:pPr>
          </w:p>
          <w:p w14:paraId="0E4DC733">
            <w:pPr>
              <w:pStyle w:val="2"/>
              <w:ind w:left="0" w:leftChars="0" w:firstLine="0" w:firstLineChars="0"/>
              <w:jc w:val="left"/>
              <w:rPr>
                <w:rFonts w:hint="eastAsia" w:cs="Times New Roman"/>
                <w:vertAlign w:val="baseline"/>
                <w:lang w:val="en-US" w:eastAsia="zh-CN"/>
              </w:rPr>
            </w:pPr>
          </w:p>
          <w:p w14:paraId="5852CF4E">
            <w:pPr>
              <w:pStyle w:val="2"/>
              <w:ind w:left="0" w:leftChars="0" w:firstLine="0" w:firstLineChars="0"/>
              <w:jc w:val="left"/>
              <w:rPr>
                <w:rFonts w:hint="eastAsia" w:cs="Times New Roman"/>
                <w:vertAlign w:val="baseline"/>
                <w:lang w:val="en-US" w:eastAsia="zh-CN"/>
              </w:rPr>
            </w:pPr>
          </w:p>
          <w:p w14:paraId="5A581957">
            <w:pPr>
              <w:pStyle w:val="2"/>
              <w:ind w:left="0" w:leftChars="0" w:firstLine="0" w:firstLineChars="0"/>
              <w:jc w:val="left"/>
              <w:rPr>
                <w:rFonts w:hint="eastAsia" w:cs="Times New Roman"/>
                <w:vertAlign w:val="baseline"/>
                <w:lang w:val="en-US" w:eastAsia="zh-CN"/>
              </w:rPr>
            </w:pPr>
          </w:p>
          <w:p w14:paraId="266046CD">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资采通系统接收单位资产系统通过sdk推送的各类型业务数据，并完成数据规范性校验，并将数据转换为符合财政标准的数据上报。</w:t>
            </w:r>
          </w:p>
        </w:tc>
      </w:tr>
      <w:tr w14:paraId="1D94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9DDAA4A">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3E8512D">
            <w:pPr>
              <w:pStyle w:val="2"/>
              <w:jc w:val="left"/>
              <w:rPr>
                <w:rFonts w:hint="eastAsia" w:cs="Times New Roman"/>
                <w:vertAlign w:val="baseline"/>
              </w:rPr>
            </w:pPr>
          </w:p>
        </w:tc>
        <w:tc>
          <w:tcPr>
            <w:tcW w:w="1402" w:type="dxa"/>
            <w:vMerge w:val="continue"/>
            <w:noWrap w:val="0"/>
            <w:vAlign w:val="top"/>
          </w:tcPr>
          <w:p w14:paraId="0B860730">
            <w:pPr>
              <w:pStyle w:val="2"/>
              <w:jc w:val="left"/>
              <w:rPr>
                <w:rFonts w:hint="eastAsia" w:cs="Times New Roman"/>
                <w:vertAlign w:val="baseline"/>
              </w:rPr>
            </w:pPr>
          </w:p>
        </w:tc>
        <w:tc>
          <w:tcPr>
            <w:tcW w:w="1847" w:type="dxa"/>
            <w:noWrap w:val="0"/>
            <w:vAlign w:val="top"/>
          </w:tcPr>
          <w:p w14:paraId="59C28E3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卡片新增</w:t>
            </w:r>
          </w:p>
        </w:tc>
        <w:tc>
          <w:tcPr>
            <w:tcW w:w="2141" w:type="dxa"/>
            <w:vMerge w:val="continue"/>
            <w:noWrap w:val="0"/>
            <w:vAlign w:val="top"/>
          </w:tcPr>
          <w:p w14:paraId="7701E68F">
            <w:pPr>
              <w:pStyle w:val="2"/>
              <w:ind w:left="0" w:leftChars="0" w:firstLine="0" w:firstLineChars="0"/>
              <w:jc w:val="left"/>
              <w:rPr>
                <w:rFonts w:hint="eastAsia" w:cs="Times New Roman"/>
                <w:vertAlign w:val="baseline"/>
                <w:lang w:val="en-US" w:eastAsia="zh-CN"/>
              </w:rPr>
            </w:pPr>
          </w:p>
        </w:tc>
      </w:tr>
      <w:tr w14:paraId="488C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29F4F22B">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0F1F977">
            <w:pPr>
              <w:pStyle w:val="2"/>
              <w:jc w:val="left"/>
              <w:rPr>
                <w:rFonts w:hint="eastAsia" w:cs="Times New Roman"/>
                <w:vertAlign w:val="baseline"/>
              </w:rPr>
            </w:pPr>
          </w:p>
        </w:tc>
        <w:tc>
          <w:tcPr>
            <w:tcW w:w="1402" w:type="dxa"/>
            <w:vMerge w:val="continue"/>
            <w:noWrap w:val="0"/>
            <w:vAlign w:val="top"/>
          </w:tcPr>
          <w:p w14:paraId="7420E7D6">
            <w:pPr>
              <w:pStyle w:val="2"/>
              <w:jc w:val="left"/>
              <w:rPr>
                <w:rFonts w:hint="eastAsia" w:cs="Times New Roman"/>
                <w:vertAlign w:val="baseline"/>
              </w:rPr>
            </w:pPr>
          </w:p>
        </w:tc>
        <w:tc>
          <w:tcPr>
            <w:tcW w:w="1847" w:type="dxa"/>
            <w:noWrap w:val="0"/>
            <w:vAlign w:val="top"/>
          </w:tcPr>
          <w:p w14:paraId="694AF19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卡片变动</w:t>
            </w:r>
          </w:p>
        </w:tc>
        <w:tc>
          <w:tcPr>
            <w:tcW w:w="2141" w:type="dxa"/>
            <w:vMerge w:val="continue"/>
            <w:noWrap w:val="0"/>
            <w:vAlign w:val="top"/>
          </w:tcPr>
          <w:p w14:paraId="454281C1">
            <w:pPr>
              <w:pStyle w:val="2"/>
              <w:ind w:left="0" w:leftChars="0" w:firstLine="0" w:firstLineChars="0"/>
              <w:jc w:val="left"/>
              <w:rPr>
                <w:rFonts w:hint="eastAsia" w:cs="Times New Roman"/>
                <w:vertAlign w:val="baseline"/>
                <w:lang w:val="en-US" w:eastAsia="zh-CN"/>
              </w:rPr>
            </w:pPr>
          </w:p>
        </w:tc>
      </w:tr>
      <w:tr w14:paraId="5CBE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D2D5302">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30D4BDDC">
            <w:pPr>
              <w:pStyle w:val="2"/>
              <w:jc w:val="left"/>
              <w:rPr>
                <w:rFonts w:hint="eastAsia" w:cs="Times New Roman"/>
                <w:vertAlign w:val="baseline"/>
              </w:rPr>
            </w:pPr>
          </w:p>
        </w:tc>
        <w:tc>
          <w:tcPr>
            <w:tcW w:w="1402" w:type="dxa"/>
            <w:vMerge w:val="continue"/>
            <w:noWrap w:val="0"/>
            <w:vAlign w:val="top"/>
          </w:tcPr>
          <w:p w14:paraId="46FD1DCA">
            <w:pPr>
              <w:pStyle w:val="2"/>
              <w:jc w:val="left"/>
              <w:rPr>
                <w:rFonts w:hint="eastAsia" w:cs="Times New Roman"/>
                <w:vertAlign w:val="baseline"/>
              </w:rPr>
            </w:pPr>
          </w:p>
        </w:tc>
        <w:tc>
          <w:tcPr>
            <w:tcW w:w="1847" w:type="dxa"/>
            <w:noWrap w:val="0"/>
            <w:vAlign w:val="top"/>
          </w:tcPr>
          <w:p w14:paraId="25F88AF1">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卡片拆分</w:t>
            </w:r>
          </w:p>
        </w:tc>
        <w:tc>
          <w:tcPr>
            <w:tcW w:w="2141" w:type="dxa"/>
            <w:vMerge w:val="continue"/>
            <w:noWrap w:val="0"/>
            <w:vAlign w:val="top"/>
          </w:tcPr>
          <w:p w14:paraId="3EEA52E7">
            <w:pPr>
              <w:pStyle w:val="2"/>
              <w:ind w:left="0" w:leftChars="0" w:firstLine="0" w:firstLineChars="0"/>
              <w:jc w:val="left"/>
              <w:rPr>
                <w:rFonts w:hint="eastAsia" w:cs="Times New Roman"/>
                <w:vertAlign w:val="baseline"/>
                <w:lang w:val="en-US" w:eastAsia="zh-CN"/>
              </w:rPr>
            </w:pPr>
          </w:p>
        </w:tc>
      </w:tr>
      <w:tr w14:paraId="0CDF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4FDF41D">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192CE6D">
            <w:pPr>
              <w:pStyle w:val="2"/>
              <w:jc w:val="left"/>
              <w:rPr>
                <w:rFonts w:hint="eastAsia" w:cs="Times New Roman"/>
                <w:vertAlign w:val="baseline"/>
              </w:rPr>
            </w:pPr>
          </w:p>
        </w:tc>
        <w:tc>
          <w:tcPr>
            <w:tcW w:w="1402" w:type="dxa"/>
            <w:vMerge w:val="continue"/>
            <w:noWrap w:val="0"/>
            <w:vAlign w:val="top"/>
          </w:tcPr>
          <w:p w14:paraId="6D8EFAC9">
            <w:pPr>
              <w:pStyle w:val="2"/>
              <w:jc w:val="left"/>
              <w:rPr>
                <w:rFonts w:hint="eastAsia" w:cs="Times New Roman"/>
                <w:vertAlign w:val="baseline"/>
              </w:rPr>
            </w:pPr>
          </w:p>
        </w:tc>
        <w:tc>
          <w:tcPr>
            <w:tcW w:w="1847" w:type="dxa"/>
            <w:noWrap w:val="0"/>
            <w:vAlign w:val="top"/>
          </w:tcPr>
          <w:p w14:paraId="5A3AA63E">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卡片冲销</w:t>
            </w:r>
          </w:p>
        </w:tc>
        <w:tc>
          <w:tcPr>
            <w:tcW w:w="2141" w:type="dxa"/>
            <w:vMerge w:val="continue"/>
            <w:noWrap w:val="0"/>
            <w:vAlign w:val="top"/>
          </w:tcPr>
          <w:p w14:paraId="2985876F">
            <w:pPr>
              <w:pStyle w:val="2"/>
              <w:ind w:left="0" w:leftChars="0" w:firstLine="0" w:firstLineChars="0"/>
              <w:jc w:val="left"/>
              <w:rPr>
                <w:rFonts w:hint="eastAsia" w:cs="Times New Roman"/>
                <w:vertAlign w:val="baseline"/>
                <w:lang w:val="en-US" w:eastAsia="zh-CN"/>
              </w:rPr>
            </w:pPr>
          </w:p>
        </w:tc>
      </w:tr>
      <w:tr w14:paraId="6E45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510ED62">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486425F">
            <w:pPr>
              <w:pStyle w:val="2"/>
              <w:jc w:val="left"/>
              <w:rPr>
                <w:rFonts w:hint="eastAsia" w:cs="Times New Roman"/>
                <w:vertAlign w:val="baseline"/>
              </w:rPr>
            </w:pPr>
          </w:p>
        </w:tc>
        <w:tc>
          <w:tcPr>
            <w:tcW w:w="1402" w:type="dxa"/>
            <w:vMerge w:val="continue"/>
            <w:noWrap w:val="0"/>
            <w:vAlign w:val="top"/>
          </w:tcPr>
          <w:p w14:paraId="1D311CC4">
            <w:pPr>
              <w:pStyle w:val="2"/>
              <w:jc w:val="left"/>
              <w:rPr>
                <w:rFonts w:hint="eastAsia" w:cs="Times New Roman"/>
                <w:vertAlign w:val="baseline"/>
              </w:rPr>
            </w:pPr>
          </w:p>
        </w:tc>
        <w:tc>
          <w:tcPr>
            <w:tcW w:w="1847" w:type="dxa"/>
            <w:noWrap w:val="0"/>
            <w:vAlign w:val="top"/>
          </w:tcPr>
          <w:p w14:paraId="36F024EB">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对外捐赠</w:t>
            </w:r>
          </w:p>
        </w:tc>
        <w:tc>
          <w:tcPr>
            <w:tcW w:w="2141" w:type="dxa"/>
            <w:vMerge w:val="continue"/>
            <w:noWrap w:val="0"/>
            <w:vAlign w:val="top"/>
          </w:tcPr>
          <w:p w14:paraId="60FC63C4">
            <w:pPr>
              <w:pStyle w:val="2"/>
              <w:ind w:left="0" w:leftChars="0" w:firstLine="0" w:firstLineChars="0"/>
              <w:jc w:val="left"/>
              <w:rPr>
                <w:rFonts w:hint="eastAsia" w:cs="Times New Roman"/>
                <w:vertAlign w:val="baseline"/>
                <w:lang w:val="en-US" w:eastAsia="zh-CN"/>
              </w:rPr>
            </w:pPr>
          </w:p>
        </w:tc>
      </w:tr>
      <w:tr w14:paraId="2E86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A05E8B3">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9855BC0">
            <w:pPr>
              <w:pStyle w:val="2"/>
              <w:jc w:val="left"/>
              <w:rPr>
                <w:rFonts w:hint="eastAsia" w:cs="Times New Roman"/>
                <w:vertAlign w:val="baseline"/>
              </w:rPr>
            </w:pPr>
          </w:p>
        </w:tc>
        <w:tc>
          <w:tcPr>
            <w:tcW w:w="1402" w:type="dxa"/>
            <w:vMerge w:val="continue"/>
            <w:noWrap w:val="0"/>
            <w:vAlign w:val="top"/>
          </w:tcPr>
          <w:p w14:paraId="193FD1F1">
            <w:pPr>
              <w:pStyle w:val="2"/>
              <w:jc w:val="left"/>
              <w:rPr>
                <w:rFonts w:hint="eastAsia" w:cs="Times New Roman"/>
                <w:vertAlign w:val="baseline"/>
              </w:rPr>
            </w:pPr>
          </w:p>
        </w:tc>
        <w:tc>
          <w:tcPr>
            <w:tcW w:w="1847" w:type="dxa"/>
            <w:noWrap w:val="0"/>
            <w:vAlign w:val="top"/>
          </w:tcPr>
          <w:p w14:paraId="3E1A82F8">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无偿划转</w:t>
            </w:r>
          </w:p>
        </w:tc>
        <w:tc>
          <w:tcPr>
            <w:tcW w:w="2141" w:type="dxa"/>
            <w:vMerge w:val="continue"/>
            <w:noWrap w:val="0"/>
            <w:vAlign w:val="top"/>
          </w:tcPr>
          <w:p w14:paraId="31CA998A">
            <w:pPr>
              <w:pStyle w:val="2"/>
              <w:ind w:left="0" w:leftChars="0" w:firstLine="0" w:firstLineChars="0"/>
              <w:jc w:val="left"/>
              <w:rPr>
                <w:rFonts w:hint="eastAsia" w:cs="Times New Roman"/>
                <w:vertAlign w:val="baseline"/>
                <w:lang w:val="en-US" w:eastAsia="zh-CN"/>
              </w:rPr>
            </w:pPr>
          </w:p>
        </w:tc>
      </w:tr>
      <w:tr w14:paraId="1EA9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E47D011">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D294C8A">
            <w:pPr>
              <w:pStyle w:val="2"/>
              <w:jc w:val="left"/>
              <w:rPr>
                <w:rFonts w:hint="eastAsia" w:cs="Times New Roman"/>
                <w:vertAlign w:val="baseline"/>
              </w:rPr>
            </w:pPr>
          </w:p>
        </w:tc>
        <w:tc>
          <w:tcPr>
            <w:tcW w:w="1402" w:type="dxa"/>
            <w:vMerge w:val="continue"/>
            <w:noWrap w:val="0"/>
            <w:vAlign w:val="top"/>
          </w:tcPr>
          <w:p w14:paraId="76DFD6FD">
            <w:pPr>
              <w:pStyle w:val="2"/>
              <w:jc w:val="left"/>
              <w:rPr>
                <w:rFonts w:hint="eastAsia" w:cs="Times New Roman"/>
                <w:vertAlign w:val="baseline"/>
              </w:rPr>
            </w:pPr>
          </w:p>
        </w:tc>
        <w:tc>
          <w:tcPr>
            <w:tcW w:w="1847" w:type="dxa"/>
            <w:noWrap w:val="0"/>
            <w:vAlign w:val="top"/>
          </w:tcPr>
          <w:p w14:paraId="6442DCDD">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处置置换</w:t>
            </w:r>
          </w:p>
        </w:tc>
        <w:tc>
          <w:tcPr>
            <w:tcW w:w="2141" w:type="dxa"/>
            <w:vMerge w:val="continue"/>
            <w:noWrap w:val="0"/>
            <w:vAlign w:val="top"/>
          </w:tcPr>
          <w:p w14:paraId="448895B2">
            <w:pPr>
              <w:pStyle w:val="2"/>
              <w:ind w:left="0" w:leftChars="0" w:firstLine="0" w:firstLineChars="0"/>
              <w:jc w:val="left"/>
              <w:rPr>
                <w:rFonts w:hint="eastAsia" w:cs="Times New Roman"/>
                <w:vertAlign w:val="baseline"/>
                <w:lang w:val="en-US" w:eastAsia="zh-CN"/>
              </w:rPr>
            </w:pPr>
          </w:p>
        </w:tc>
      </w:tr>
      <w:tr w14:paraId="100D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B03AFD5">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7A4374E5">
            <w:pPr>
              <w:pStyle w:val="2"/>
              <w:jc w:val="left"/>
              <w:rPr>
                <w:rFonts w:hint="eastAsia" w:cs="Times New Roman"/>
                <w:vertAlign w:val="baseline"/>
              </w:rPr>
            </w:pPr>
          </w:p>
        </w:tc>
        <w:tc>
          <w:tcPr>
            <w:tcW w:w="1402" w:type="dxa"/>
            <w:vMerge w:val="continue"/>
            <w:noWrap w:val="0"/>
            <w:vAlign w:val="top"/>
          </w:tcPr>
          <w:p w14:paraId="42FD63E9">
            <w:pPr>
              <w:pStyle w:val="2"/>
              <w:jc w:val="left"/>
              <w:rPr>
                <w:rFonts w:hint="eastAsia" w:cs="Times New Roman"/>
                <w:vertAlign w:val="baseline"/>
              </w:rPr>
            </w:pPr>
          </w:p>
        </w:tc>
        <w:tc>
          <w:tcPr>
            <w:tcW w:w="1847" w:type="dxa"/>
            <w:noWrap w:val="0"/>
            <w:vAlign w:val="top"/>
          </w:tcPr>
          <w:p w14:paraId="694BCDBB">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处置转让</w:t>
            </w:r>
          </w:p>
        </w:tc>
        <w:tc>
          <w:tcPr>
            <w:tcW w:w="2141" w:type="dxa"/>
            <w:vMerge w:val="continue"/>
            <w:noWrap w:val="0"/>
            <w:vAlign w:val="top"/>
          </w:tcPr>
          <w:p w14:paraId="6FB480A4">
            <w:pPr>
              <w:pStyle w:val="2"/>
              <w:ind w:left="0" w:leftChars="0" w:firstLine="0" w:firstLineChars="0"/>
              <w:jc w:val="left"/>
              <w:rPr>
                <w:rFonts w:hint="eastAsia" w:cs="Times New Roman"/>
                <w:vertAlign w:val="baseline"/>
                <w:lang w:val="en-US" w:eastAsia="zh-CN"/>
              </w:rPr>
            </w:pPr>
          </w:p>
        </w:tc>
      </w:tr>
      <w:tr w14:paraId="40CD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C3C84A0">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35AB4EFE">
            <w:pPr>
              <w:pStyle w:val="2"/>
              <w:jc w:val="left"/>
              <w:rPr>
                <w:rFonts w:hint="eastAsia" w:cs="Times New Roman"/>
                <w:vertAlign w:val="baseline"/>
              </w:rPr>
            </w:pPr>
          </w:p>
        </w:tc>
        <w:tc>
          <w:tcPr>
            <w:tcW w:w="1402" w:type="dxa"/>
            <w:vMerge w:val="continue"/>
            <w:noWrap w:val="0"/>
            <w:vAlign w:val="top"/>
          </w:tcPr>
          <w:p w14:paraId="7D42B4D6">
            <w:pPr>
              <w:pStyle w:val="2"/>
              <w:jc w:val="left"/>
              <w:rPr>
                <w:rFonts w:hint="eastAsia" w:cs="Times New Roman"/>
                <w:vertAlign w:val="baseline"/>
              </w:rPr>
            </w:pPr>
          </w:p>
        </w:tc>
        <w:tc>
          <w:tcPr>
            <w:tcW w:w="1847" w:type="dxa"/>
            <w:noWrap w:val="0"/>
            <w:vAlign w:val="top"/>
          </w:tcPr>
          <w:p w14:paraId="5AA6EAAA">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处置报损</w:t>
            </w:r>
          </w:p>
        </w:tc>
        <w:tc>
          <w:tcPr>
            <w:tcW w:w="2141" w:type="dxa"/>
            <w:vMerge w:val="continue"/>
            <w:noWrap w:val="0"/>
            <w:vAlign w:val="top"/>
          </w:tcPr>
          <w:p w14:paraId="2A82AC93">
            <w:pPr>
              <w:pStyle w:val="2"/>
              <w:ind w:left="0" w:leftChars="0" w:firstLine="0" w:firstLineChars="0"/>
              <w:jc w:val="left"/>
              <w:rPr>
                <w:rFonts w:hint="eastAsia" w:cs="Times New Roman"/>
                <w:vertAlign w:val="baseline"/>
                <w:lang w:val="en-US" w:eastAsia="zh-CN"/>
              </w:rPr>
            </w:pPr>
          </w:p>
        </w:tc>
      </w:tr>
      <w:tr w14:paraId="6E41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744FD7F">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6EF9947">
            <w:pPr>
              <w:pStyle w:val="2"/>
              <w:jc w:val="left"/>
              <w:rPr>
                <w:rFonts w:hint="eastAsia" w:cs="Times New Roman"/>
                <w:vertAlign w:val="baseline"/>
              </w:rPr>
            </w:pPr>
          </w:p>
        </w:tc>
        <w:tc>
          <w:tcPr>
            <w:tcW w:w="1402" w:type="dxa"/>
            <w:vMerge w:val="continue"/>
            <w:noWrap w:val="0"/>
            <w:vAlign w:val="top"/>
          </w:tcPr>
          <w:p w14:paraId="38354FF1">
            <w:pPr>
              <w:pStyle w:val="2"/>
              <w:jc w:val="left"/>
              <w:rPr>
                <w:rFonts w:hint="eastAsia" w:cs="Times New Roman"/>
                <w:vertAlign w:val="baseline"/>
              </w:rPr>
            </w:pPr>
          </w:p>
        </w:tc>
        <w:tc>
          <w:tcPr>
            <w:tcW w:w="1847" w:type="dxa"/>
            <w:noWrap w:val="0"/>
            <w:vAlign w:val="top"/>
          </w:tcPr>
          <w:p w14:paraId="16C75F30">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处置报废</w:t>
            </w:r>
          </w:p>
        </w:tc>
        <w:tc>
          <w:tcPr>
            <w:tcW w:w="2141" w:type="dxa"/>
            <w:vMerge w:val="continue"/>
            <w:noWrap w:val="0"/>
            <w:vAlign w:val="top"/>
          </w:tcPr>
          <w:p w14:paraId="3E5F993B">
            <w:pPr>
              <w:pStyle w:val="2"/>
              <w:ind w:left="0" w:leftChars="0" w:firstLine="0" w:firstLineChars="0"/>
              <w:jc w:val="left"/>
              <w:rPr>
                <w:rFonts w:hint="eastAsia" w:cs="Times New Roman"/>
                <w:vertAlign w:val="baseline"/>
                <w:lang w:val="en-US" w:eastAsia="zh-CN"/>
              </w:rPr>
            </w:pPr>
          </w:p>
        </w:tc>
      </w:tr>
      <w:tr w14:paraId="6B38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869A1C6">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3C30175C">
            <w:pPr>
              <w:pStyle w:val="2"/>
              <w:jc w:val="left"/>
              <w:rPr>
                <w:rFonts w:hint="eastAsia" w:cs="Times New Roman"/>
                <w:vertAlign w:val="baseline"/>
              </w:rPr>
            </w:pPr>
          </w:p>
        </w:tc>
        <w:tc>
          <w:tcPr>
            <w:tcW w:w="1402" w:type="dxa"/>
            <w:vMerge w:val="continue"/>
            <w:noWrap w:val="0"/>
            <w:vAlign w:val="top"/>
          </w:tcPr>
          <w:p w14:paraId="221E4F74">
            <w:pPr>
              <w:pStyle w:val="2"/>
              <w:jc w:val="left"/>
              <w:rPr>
                <w:rFonts w:hint="eastAsia" w:cs="Times New Roman"/>
                <w:vertAlign w:val="baseline"/>
              </w:rPr>
            </w:pPr>
          </w:p>
        </w:tc>
        <w:tc>
          <w:tcPr>
            <w:tcW w:w="1847" w:type="dxa"/>
            <w:noWrap w:val="0"/>
            <w:vAlign w:val="top"/>
          </w:tcPr>
          <w:p w14:paraId="55DCC326">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其他处置</w:t>
            </w:r>
          </w:p>
        </w:tc>
        <w:tc>
          <w:tcPr>
            <w:tcW w:w="2141" w:type="dxa"/>
            <w:vMerge w:val="continue"/>
            <w:noWrap w:val="0"/>
            <w:vAlign w:val="top"/>
          </w:tcPr>
          <w:p w14:paraId="2E668250">
            <w:pPr>
              <w:pStyle w:val="2"/>
              <w:ind w:left="0" w:leftChars="0" w:firstLine="0" w:firstLineChars="0"/>
              <w:jc w:val="left"/>
              <w:rPr>
                <w:rFonts w:hint="eastAsia" w:cs="Times New Roman"/>
                <w:vertAlign w:val="baseline"/>
                <w:lang w:val="en-US" w:eastAsia="zh-CN"/>
              </w:rPr>
            </w:pPr>
          </w:p>
        </w:tc>
      </w:tr>
      <w:tr w14:paraId="5C5D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CBF9772">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4B7F28C">
            <w:pPr>
              <w:pStyle w:val="2"/>
              <w:jc w:val="left"/>
              <w:rPr>
                <w:rFonts w:hint="eastAsia" w:cs="Times New Roman"/>
                <w:vertAlign w:val="baseline"/>
              </w:rPr>
            </w:pPr>
          </w:p>
        </w:tc>
        <w:tc>
          <w:tcPr>
            <w:tcW w:w="1402" w:type="dxa"/>
            <w:vMerge w:val="continue"/>
            <w:noWrap w:val="0"/>
            <w:vAlign w:val="top"/>
          </w:tcPr>
          <w:p w14:paraId="729AD880">
            <w:pPr>
              <w:pStyle w:val="2"/>
              <w:jc w:val="left"/>
              <w:rPr>
                <w:rFonts w:hint="eastAsia" w:cs="Times New Roman"/>
                <w:vertAlign w:val="baseline"/>
              </w:rPr>
            </w:pPr>
          </w:p>
        </w:tc>
        <w:tc>
          <w:tcPr>
            <w:tcW w:w="1847" w:type="dxa"/>
            <w:noWrap w:val="0"/>
            <w:vAlign w:val="top"/>
          </w:tcPr>
          <w:p w14:paraId="677167A3">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维修维护</w:t>
            </w:r>
          </w:p>
        </w:tc>
        <w:tc>
          <w:tcPr>
            <w:tcW w:w="2141" w:type="dxa"/>
            <w:vMerge w:val="continue"/>
            <w:noWrap w:val="0"/>
            <w:vAlign w:val="top"/>
          </w:tcPr>
          <w:p w14:paraId="125E54AE">
            <w:pPr>
              <w:pStyle w:val="2"/>
              <w:ind w:left="0" w:leftChars="0" w:firstLine="0" w:firstLineChars="0"/>
              <w:jc w:val="left"/>
              <w:rPr>
                <w:rFonts w:hint="eastAsia" w:cs="Times New Roman"/>
                <w:vertAlign w:val="baseline"/>
                <w:lang w:val="en-US" w:eastAsia="zh-CN"/>
              </w:rPr>
            </w:pPr>
          </w:p>
        </w:tc>
      </w:tr>
      <w:tr w14:paraId="5A4E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453D98C">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3A71E89">
            <w:pPr>
              <w:pStyle w:val="2"/>
              <w:jc w:val="left"/>
              <w:rPr>
                <w:rFonts w:hint="eastAsia" w:cs="Times New Roman"/>
                <w:vertAlign w:val="baseline"/>
              </w:rPr>
            </w:pPr>
          </w:p>
        </w:tc>
        <w:tc>
          <w:tcPr>
            <w:tcW w:w="1402" w:type="dxa"/>
            <w:vMerge w:val="continue"/>
            <w:noWrap w:val="0"/>
            <w:vAlign w:val="top"/>
          </w:tcPr>
          <w:p w14:paraId="5C5906D1">
            <w:pPr>
              <w:pStyle w:val="2"/>
              <w:jc w:val="left"/>
              <w:rPr>
                <w:rFonts w:hint="eastAsia" w:cs="Times New Roman"/>
                <w:vertAlign w:val="baseline"/>
              </w:rPr>
            </w:pPr>
          </w:p>
        </w:tc>
        <w:tc>
          <w:tcPr>
            <w:tcW w:w="1847" w:type="dxa"/>
            <w:noWrap w:val="0"/>
            <w:vAlign w:val="top"/>
          </w:tcPr>
          <w:p w14:paraId="7FD7794A">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出租出借</w:t>
            </w:r>
          </w:p>
        </w:tc>
        <w:tc>
          <w:tcPr>
            <w:tcW w:w="2141" w:type="dxa"/>
            <w:vMerge w:val="continue"/>
            <w:noWrap w:val="0"/>
            <w:vAlign w:val="top"/>
          </w:tcPr>
          <w:p w14:paraId="7440CE92">
            <w:pPr>
              <w:pStyle w:val="2"/>
              <w:ind w:left="0" w:leftChars="0" w:firstLine="0" w:firstLineChars="0"/>
              <w:jc w:val="left"/>
              <w:rPr>
                <w:rFonts w:hint="eastAsia" w:cs="Times New Roman"/>
                <w:vertAlign w:val="baseline"/>
                <w:lang w:val="en-US" w:eastAsia="zh-CN"/>
              </w:rPr>
            </w:pPr>
          </w:p>
        </w:tc>
      </w:tr>
      <w:tr w14:paraId="5CF3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9E1361C">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BD1C25B">
            <w:pPr>
              <w:pStyle w:val="2"/>
              <w:jc w:val="left"/>
              <w:rPr>
                <w:rFonts w:hint="eastAsia" w:cs="Times New Roman"/>
                <w:vertAlign w:val="baseline"/>
              </w:rPr>
            </w:pPr>
          </w:p>
        </w:tc>
        <w:tc>
          <w:tcPr>
            <w:tcW w:w="1402" w:type="dxa"/>
            <w:vMerge w:val="continue"/>
            <w:noWrap w:val="0"/>
            <w:vAlign w:val="top"/>
          </w:tcPr>
          <w:p w14:paraId="6AEE13D7">
            <w:pPr>
              <w:pStyle w:val="2"/>
              <w:jc w:val="left"/>
              <w:rPr>
                <w:rFonts w:hint="eastAsia" w:cs="Times New Roman"/>
                <w:vertAlign w:val="baseline"/>
              </w:rPr>
            </w:pPr>
          </w:p>
        </w:tc>
        <w:tc>
          <w:tcPr>
            <w:tcW w:w="1847" w:type="dxa"/>
            <w:noWrap w:val="0"/>
            <w:vAlign w:val="top"/>
          </w:tcPr>
          <w:p w14:paraId="150750B6">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对外投资</w:t>
            </w:r>
          </w:p>
        </w:tc>
        <w:tc>
          <w:tcPr>
            <w:tcW w:w="2141" w:type="dxa"/>
            <w:vMerge w:val="continue"/>
            <w:noWrap w:val="0"/>
            <w:vAlign w:val="top"/>
          </w:tcPr>
          <w:p w14:paraId="47F859B7">
            <w:pPr>
              <w:pStyle w:val="2"/>
              <w:ind w:left="0" w:leftChars="0" w:firstLine="0" w:firstLineChars="0"/>
              <w:jc w:val="left"/>
              <w:rPr>
                <w:rFonts w:hint="eastAsia" w:cs="Times New Roman"/>
                <w:vertAlign w:val="baseline"/>
                <w:lang w:val="en-US" w:eastAsia="zh-CN"/>
              </w:rPr>
            </w:pPr>
          </w:p>
        </w:tc>
      </w:tr>
      <w:tr w14:paraId="7A26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AC427CD">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B7B2377">
            <w:pPr>
              <w:pStyle w:val="2"/>
              <w:jc w:val="left"/>
              <w:rPr>
                <w:rFonts w:hint="eastAsia" w:cs="Times New Roman"/>
                <w:vertAlign w:val="baseline"/>
              </w:rPr>
            </w:pPr>
          </w:p>
        </w:tc>
        <w:tc>
          <w:tcPr>
            <w:tcW w:w="1402" w:type="dxa"/>
            <w:vMerge w:val="continue"/>
            <w:noWrap w:val="0"/>
            <w:vAlign w:val="top"/>
          </w:tcPr>
          <w:p w14:paraId="2FFA38BF">
            <w:pPr>
              <w:pStyle w:val="2"/>
              <w:jc w:val="left"/>
              <w:rPr>
                <w:rFonts w:hint="eastAsia" w:cs="Times New Roman"/>
                <w:vertAlign w:val="baseline"/>
              </w:rPr>
            </w:pPr>
          </w:p>
        </w:tc>
        <w:tc>
          <w:tcPr>
            <w:tcW w:w="1847" w:type="dxa"/>
            <w:noWrap w:val="0"/>
            <w:vAlign w:val="top"/>
          </w:tcPr>
          <w:p w14:paraId="2AB2D526">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使用回收</w:t>
            </w:r>
          </w:p>
        </w:tc>
        <w:tc>
          <w:tcPr>
            <w:tcW w:w="2141" w:type="dxa"/>
            <w:vMerge w:val="continue"/>
            <w:noWrap w:val="0"/>
            <w:vAlign w:val="top"/>
          </w:tcPr>
          <w:p w14:paraId="3374D5CA">
            <w:pPr>
              <w:pStyle w:val="2"/>
              <w:ind w:left="0" w:leftChars="0" w:firstLine="0" w:firstLineChars="0"/>
              <w:jc w:val="left"/>
              <w:rPr>
                <w:rFonts w:hint="eastAsia" w:cs="Times New Roman"/>
                <w:vertAlign w:val="baseline"/>
                <w:lang w:val="en-US" w:eastAsia="zh-CN"/>
              </w:rPr>
            </w:pPr>
          </w:p>
        </w:tc>
      </w:tr>
      <w:tr w14:paraId="25D3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8E2E256">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3F1209F4">
            <w:pPr>
              <w:pStyle w:val="2"/>
              <w:jc w:val="left"/>
              <w:rPr>
                <w:rFonts w:hint="eastAsia" w:cs="Times New Roman"/>
                <w:vertAlign w:val="baseline"/>
              </w:rPr>
            </w:pPr>
          </w:p>
        </w:tc>
        <w:tc>
          <w:tcPr>
            <w:tcW w:w="1402" w:type="dxa"/>
            <w:vMerge w:val="continue"/>
            <w:noWrap w:val="0"/>
            <w:vAlign w:val="top"/>
          </w:tcPr>
          <w:p w14:paraId="7AE8B0BF">
            <w:pPr>
              <w:pStyle w:val="2"/>
              <w:jc w:val="left"/>
              <w:rPr>
                <w:rFonts w:hint="eastAsia" w:cs="Times New Roman"/>
                <w:vertAlign w:val="baseline"/>
              </w:rPr>
            </w:pPr>
          </w:p>
        </w:tc>
        <w:tc>
          <w:tcPr>
            <w:tcW w:w="1847" w:type="dxa"/>
            <w:noWrap w:val="0"/>
            <w:vAlign w:val="top"/>
          </w:tcPr>
          <w:p w14:paraId="49C287F3">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机构划转</w:t>
            </w:r>
          </w:p>
        </w:tc>
        <w:tc>
          <w:tcPr>
            <w:tcW w:w="2141" w:type="dxa"/>
            <w:vMerge w:val="continue"/>
            <w:noWrap w:val="0"/>
            <w:vAlign w:val="top"/>
          </w:tcPr>
          <w:p w14:paraId="4AA6DB6A">
            <w:pPr>
              <w:pStyle w:val="2"/>
              <w:ind w:left="0" w:leftChars="0" w:firstLine="0" w:firstLineChars="0"/>
              <w:jc w:val="left"/>
              <w:rPr>
                <w:rFonts w:hint="eastAsia" w:cs="Times New Roman"/>
                <w:vertAlign w:val="baseline"/>
                <w:lang w:val="en-US" w:eastAsia="zh-CN"/>
              </w:rPr>
            </w:pPr>
          </w:p>
        </w:tc>
      </w:tr>
      <w:tr w14:paraId="1753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D133263">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B956671">
            <w:pPr>
              <w:pStyle w:val="2"/>
              <w:jc w:val="left"/>
              <w:rPr>
                <w:rFonts w:hint="eastAsia" w:cs="Times New Roman"/>
                <w:vertAlign w:val="baseline"/>
              </w:rPr>
            </w:pPr>
          </w:p>
        </w:tc>
        <w:tc>
          <w:tcPr>
            <w:tcW w:w="1402" w:type="dxa"/>
            <w:vMerge w:val="continue"/>
            <w:noWrap w:val="0"/>
            <w:vAlign w:val="top"/>
          </w:tcPr>
          <w:p w14:paraId="7B31B401">
            <w:pPr>
              <w:pStyle w:val="2"/>
              <w:jc w:val="left"/>
              <w:rPr>
                <w:rFonts w:hint="eastAsia" w:cs="Times New Roman"/>
                <w:vertAlign w:val="baseline"/>
              </w:rPr>
            </w:pPr>
          </w:p>
        </w:tc>
        <w:tc>
          <w:tcPr>
            <w:tcW w:w="1847" w:type="dxa"/>
            <w:noWrap w:val="0"/>
            <w:vAlign w:val="top"/>
          </w:tcPr>
          <w:p w14:paraId="195C89F6">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基础数据</w:t>
            </w:r>
          </w:p>
        </w:tc>
        <w:tc>
          <w:tcPr>
            <w:tcW w:w="2141" w:type="dxa"/>
            <w:noWrap w:val="0"/>
            <w:vAlign w:val="top"/>
          </w:tcPr>
          <w:p w14:paraId="395EAE0A">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资采通接收单位资产系统通过sdk推送的单位部门信息、人员信息、资产存放地信息，并完成数据规范性校验，上报财政。</w:t>
            </w:r>
          </w:p>
        </w:tc>
      </w:tr>
      <w:tr w14:paraId="32BF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80037DD">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4B5FDE4">
            <w:pPr>
              <w:pStyle w:val="2"/>
              <w:jc w:val="left"/>
              <w:rPr>
                <w:rFonts w:hint="eastAsia" w:cs="Times New Roman"/>
                <w:vertAlign w:val="baseline"/>
              </w:rPr>
            </w:pPr>
          </w:p>
        </w:tc>
        <w:tc>
          <w:tcPr>
            <w:tcW w:w="1402" w:type="dxa"/>
            <w:vMerge w:val="continue"/>
            <w:noWrap w:val="0"/>
            <w:vAlign w:val="top"/>
          </w:tcPr>
          <w:p w14:paraId="57091BA5">
            <w:pPr>
              <w:pStyle w:val="2"/>
              <w:jc w:val="left"/>
              <w:rPr>
                <w:rFonts w:hint="eastAsia" w:cs="Times New Roman"/>
                <w:vertAlign w:val="baseline"/>
              </w:rPr>
            </w:pPr>
          </w:p>
        </w:tc>
        <w:tc>
          <w:tcPr>
            <w:tcW w:w="1847" w:type="dxa"/>
            <w:noWrap w:val="0"/>
            <w:vAlign w:val="top"/>
          </w:tcPr>
          <w:p w14:paraId="723B50A3">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建账数据</w:t>
            </w:r>
          </w:p>
        </w:tc>
        <w:tc>
          <w:tcPr>
            <w:tcW w:w="2141" w:type="dxa"/>
            <w:noWrap w:val="0"/>
            <w:vAlign w:val="top"/>
          </w:tcPr>
          <w:p w14:paraId="2F372E14">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资采通接收单位资产系统通过sdk推送的资产建账初始化信息，完成规范性校验，上报财政。</w:t>
            </w:r>
          </w:p>
        </w:tc>
      </w:tr>
      <w:tr w14:paraId="2EEB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08FE58A">
            <w:pPr>
              <w:pStyle w:val="2"/>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4B74892">
            <w:pPr>
              <w:pStyle w:val="2"/>
              <w:jc w:val="left"/>
              <w:rPr>
                <w:rFonts w:hint="eastAsia" w:cs="Times New Roman"/>
                <w:vertAlign w:val="baseline"/>
              </w:rPr>
            </w:pPr>
          </w:p>
        </w:tc>
        <w:tc>
          <w:tcPr>
            <w:tcW w:w="1402" w:type="dxa"/>
            <w:vMerge w:val="continue"/>
            <w:noWrap w:val="0"/>
            <w:vAlign w:val="top"/>
          </w:tcPr>
          <w:p w14:paraId="7EE9375A">
            <w:pPr>
              <w:pStyle w:val="2"/>
              <w:jc w:val="left"/>
              <w:rPr>
                <w:rFonts w:hint="eastAsia" w:cs="Times New Roman"/>
                <w:vertAlign w:val="baseline"/>
              </w:rPr>
            </w:pPr>
          </w:p>
        </w:tc>
        <w:tc>
          <w:tcPr>
            <w:tcW w:w="1847" w:type="dxa"/>
            <w:noWrap w:val="0"/>
            <w:vAlign w:val="top"/>
          </w:tcPr>
          <w:p w14:paraId="25936E82">
            <w:pPr>
              <w:pStyle w:val="2"/>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折旧数据</w:t>
            </w:r>
          </w:p>
        </w:tc>
        <w:tc>
          <w:tcPr>
            <w:tcW w:w="2141" w:type="dxa"/>
            <w:noWrap w:val="0"/>
            <w:vAlign w:val="top"/>
          </w:tcPr>
          <w:p w14:paraId="6F9FFF0C">
            <w:pPr>
              <w:pStyle w:val="2"/>
              <w:ind w:left="0" w:leftChars="0" w:firstLine="0" w:firstLineChars="0"/>
              <w:jc w:val="left"/>
              <w:rPr>
                <w:rFonts w:hint="eastAsia" w:cs="Times New Roman"/>
                <w:vertAlign w:val="baseline"/>
                <w:lang w:val="en-US" w:eastAsia="zh-CN"/>
              </w:rPr>
            </w:pPr>
            <w:r>
              <w:rPr>
                <w:rFonts w:hint="eastAsia" w:cs="Times New Roman"/>
                <w:vertAlign w:val="baseline"/>
                <w:lang w:val="en-US" w:eastAsia="zh-CN"/>
              </w:rPr>
              <w:t>资采通接收单位资产系统通过sdk推送的资产建账初始化信息，完成规范性校验，上报财政。</w:t>
            </w:r>
          </w:p>
        </w:tc>
      </w:tr>
    </w:tbl>
    <w:p w14:paraId="0EF63327">
      <w:pPr>
        <w:pStyle w:val="2"/>
        <w:rPr>
          <w:rFonts w:hint="eastAsia"/>
        </w:rPr>
      </w:pPr>
    </w:p>
    <w:p w14:paraId="24B2666F">
      <w:pPr>
        <w:pStyle w:val="3"/>
        <w:ind w:firstLine="482"/>
        <w:rPr>
          <w:rStyle w:val="18"/>
          <w:rFonts w:hint="eastAsia" w:ascii="宋体" w:hAnsi="宋体" w:eastAsia="宋体" w:cs="仿宋"/>
          <w:kern w:val="0"/>
          <w:szCs w:val="24"/>
          <w:lang w:bidi="ar"/>
        </w:rPr>
      </w:pPr>
      <w:r>
        <w:rPr>
          <w:rStyle w:val="18"/>
          <w:rFonts w:hint="eastAsia" w:ascii="宋体" w:hAnsi="宋体" w:eastAsia="宋体" w:cs="仿宋"/>
          <w:kern w:val="0"/>
          <w:szCs w:val="24"/>
          <w:lang w:bidi="ar"/>
        </w:rPr>
        <w:t>二、商务参数：</w:t>
      </w:r>
    </w:p>
    <w:p w14:paraId="2D27B967">
      <w:pPr>
        <w:pStyle w:val="3"/>
        <w:rPr>
          <w:rFonts w:hint="eastAsia" w:cs="仿宋_GB2312"/>
        </w:rPr>
      </w:pPr>
      <w:r>
        <w:rPr>
          <w:rFonts w:hint="eastAsia" w:cs="仿宋_GB2312"/>
        </w:rPr>
        <w:t>1、验收标准：</w:t>
      </w:r>
    </w:p>
    <w:p w14:paraId="2A8FE2D1">
      <w:pPr>
        <w:pStyle w:val="3"/>
        <w:rPr>
          <w:rFonts w:hint="eastAsia" w:cs="仿宋_GB2312"/>
        </w:rPr>
      </w:pPr>
      <w:r>
        <w:rPr>
          <w:rFonts w:hint="eastAsia" w:cs="仿宋_GB2312"/>
        </w:rPr>
        <w:t>1.1</w:t>
      </w:r>
      <w:r>
        <w:rPr>
          <w:rFonts w:hint="eastAsia" w:cs="仿宋_GB2312"/>
          <w:lang w:val="en-US" w:eastAsia="zh-CN"/>
        </w:rPr>
        <w:t>按照财政厅标准格式要求完成合同要求的24年数据上传及国资年报上报服务，并对此</w:t>
      </w:r>
      <w:r>
        <w:rPr>
          <w:rFonts w:hint="eastAsia" w:cs="仿宋_GB2312"/>
        </w:rPr>
        <w:t>所提供的</w:t>
      </w:r>
      <w:r>
        <w:rPr>
          <w:rFonts w:hint="eastAsia" w:cs="仿宋_GB2312"/>
          <w:lang w:val="en-US" w:eastAsia="zh-CN"/>
        </w:rPr>
        <w:t>同步软件</w:t>
      </w:r>
      <w:r>
        <w:rPr>
          <w:rFonts w:hint="eastAsia" w:cs="仿宋_GB2312"/>
        </w:rPr>
        <w:t>是最新设计的最新版本。</w:t>
      </w:r>
    </w:p>
    <w:p w14:paraId="7F36DCEA">
      <w:pPr>
        <w:pStyle w:val="3"/>
        <w:rPr>
          <w:rFonts w:hint="eastAsia" w:cs="仿宋_GB2312"/>
        </w:rPr>
      </w:pPr>
      <w:r>
        <w:rPr>
          <w:rFonts w:hint="eastAsia" w:cs="仿宋_GB2312"/>
        </w:rPr>
        <w:t>2.售后服务及其他</w:t>
      </w:r>
    </w:p>
    <w:p w14:paraId="69A89618">
      <w:pPr>
        <w:pStyle w:val="3"/>
        <w:rPr>
          <w:rFonts w:hint="eastAsia" w:cs="仿宋_GB2312"/>
        </w:rPr>
      </w:pPr>
      <w:r>
        <w:rPr>
          <w:rFonts w:hint="eastAsia" w:cs="仿宋_GB2312"/>
        </w:rPr>
        <w:t>2.1成交供应商</w:t>
      </w:r>
      <w:r>
        <w:rPr>
          <w:rFonts w:hint="eastAsia" w:cs="仿宋_GB2312"/>
          <w:lang w:val="en-US" w:eastAsia="zh-CN"/>
        </w:rPr>
        <w:t>在</w:t>
      </w:r>
      <w:r>
        <w:rPr>
          <w:rFonts w:hint="eastAsia" w:cs="仿宋_GB2312"/>
        </w:rPr>
        <w:t>本项目验收合格之日起要求提供至少</w:t>
      </w:r>
      <w:r>
        <w:rPr>
          <w:rFonts w:hint="eastAsia" w:cs="仿宋_GB2312"/>
          <w:lang w:val="en-US" w:eastAsia="zh-CN"/>
        </w:rPr>
        <w:t>1</w:t>
      </w:r>
      <w:r>
        <w:rPr>
          <w:rFonts w:hint="eastAsia" w:cs="仿宋_GB2312"/>
        </w:rPr>
        <w:t>年的</w:t>
      </w:r>
      <w:r>
        <w:rPr>
          <w:rFonts w:hint="eastAsia" w:cs="仿宋_GB2312"/>
          <w:lang w:val="en-US" w:eastAsia="zh-CN"/>
        </w:rPr>
        <w:t>咨询运维服务</w:t>
      </w:r>
      <w:r>
        <w:rPr>
          <w:rFonts w:hint="eastAsia" w:cs="仿宋_GB2312"/>
        </w:rPr>
        <w:t>。维保期内成交供应商提供</w:t>
      </w:r>
      <w:r>
        <w:rPr>
          <w:rFonts w:hint="eastAsia" w:cs="仿宋_GB2312"/>
          <w:lang w:val="en-US" w:eastAsia="zh-CN"/>
        </w:rPr>
        <w:t>资产同步</w:t>
      </w:r>
      <w:r>
        <w:rPr>
          <w:rFonts w:hint="eastAsia" w:cs="仿宋_GB2312"/>
        </w:rPr>
        <w:t>软件升级服务（包括但不限于软件版本打补丁和版本更新、性能优化等）、咨询服务。</w:t>
      </w:r>
    </w:p>
    <w:p w14:paraId="1B7BD2A9">
      <w:pPr>
        <w:pStyle w:val="3"/>
        <w:rPr>
          <w:rFonts w:hint="eastAsia" w:cs="仿宋_GB2312"/>
        </w:rPr>
      </w:pPr>
      <w:r>
        <w:rPr>
          <w:rFonts w:hint="eastAsia" w:cs="仿宋_GB2312"/>
          <w:lang w:val="en-US" w:eastAsia="zh-CN"/>
        </w:rPr>
        <w:t>3</w:t>
      </w:r>
      <w:r>
        <w:rPr>
          <w:rFonts w:hint="eastAsia" w:cs="仿宋_GB2312"/>
        </w:rPr>
        <w:t>、付款方式与条件：</w:t>
      </w:r>
    </w:p>
    <w:tbl>
      <w:tblPr>
        <w:tblStyle w:val="15"/>
        <w:tblW w:w="8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40"/>
        <w:gridCol w:w="6870"/>
      </w:tblGrid>
      <w:tr w14:paraId="2208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898" w:type="dxa"/>
            <w:noWrap w:val="0"/>
            <w:vAlign w:val="top"/>
          </w:tcPr>
          <w:p w14:paraId="28FA2D42">
            <w:pPr>
              <w:pStyle w:val="3"/>
              <w:ind w:firstLine="0" w:firstLineChars="0"/>
              <w:jc w:val="center"/>
              <w:rPr>
                <w:rFonts w:hint="eastAsia" w:cs="仿宋_GB2312"/>
              </w:rPr>
            </w:pPr>
            <w:r>
              <w:rPr>
                <w:rFonts w:hint="eastAsia" w:cs="仿宋_GB2312"/>
              </w:rPr>
              <w:t>支付期次</w:t>
            </w:r>
          </w:p>
        </w:tc>
        <w:tc>
          <w:tcPr>
            <w:tcW w:w="1140" w:type="dxa"/>
            <w:noWrap w:val="0"/>
            <w:vAlign w:val="top"/>
          </w:tcPr>
          <w:p w14:paraId="61675B78">
            <w:pPr>
              <w:pStyle w:val="3"/>
              <w:ind w:firstLine="0" w:firstLineChars="0"/>
              <w:jc w:val="center"/>
              <w:rPr>
                <w:rFonts w:hint="eastAsia" w:cs="仿宋_GB2312"/>
              </w:rPr>
            </w:pPr>
            <w:r>
              <w:rPr>
                <w:rFonts w:hint="eastAsia" w:cs="仿宋_GB2312"/>
              </w:rPr>
              <w:t>支付比例(%)</w:t>
            </w:r>
          </w:p>
        </w:tc>
        <w:tc>
          <w:tcPr>
            <w:tcW w:w="6870" w:type="dxa"/>
            <w:noWrap w:val="0"/>
            <w:vAlign w:val="top"/>
          </w:tcPr>
          <w:p w14:paraId="6D96B1BE">
            <w:pPr>
              <w:pStyle w:val="3"/>
              <w:ind w:firstLine="0" w:firstLineChars="0"/>
              <w:jc w:val="center"/>
              <w:rPr>
                <w:rFonts w:hint="eastAsia" w:cs="仿宋_GB2312"/>
              </w:rPr>
            </w:pPr>
            <w:r>
              <w:rPr>
                <w:rFonts w:hint="eastAsia" w:cs="仿宋_GB2312"/>
              </w:rPr>
              <w:t>支付期次说明</w:t>
            </w:r>
          </w:p>
        </w:tc>
      </w:tr>
      <w:tr w14:paraId="0BFE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898" w:type="dxa"/>
            <w:noWrap w:val="0"/>
            <w:vAlign w:val="center"/>
          </w:tcPr>
          <w:p w14:paraId="1DFCBF1B">
            <w:pPr>
              <w:pStyle w:val="3"/>
              <w:ind w:firstLine="0" w:firstLineChars="0"/>
              <w:jc w:val="center"/>
              <w:rPr>
                <w:rFonts w:cs="仿宋_GB2312"/>
              </w:rPr>
            </w:pPr>
            <w:r>
              <w:rPr>
                <w:rFonts w:hint="eastAsia" w:cs="仿宋_GB2312"/>
              </w:rPr>
              <w:t>1</w:t>
            </w:r>
          </w:p>
        </w:tc>
        <w:tc>
          <w:tcPr>
            <w:tcW w:w="1140" w:type="dxa"/>
            <w:noWrap w:val="0"/>
            <w:vAlign w:val="center"/>
          </w:tcPr>
          <w:p w14:paraId="33CEAEF8">
            <w:pPr>
              <w:pStyle w:val="3"/>
              <w:ind w:firstLine="0" w:firstLineChars="0"/>
              <w:jc w:val="center"/>
              <w:rPr>
                <w:rFonts w:cs="仿宋_GB2312"/>
              </w:rPr>
            </w:pPr>
            <w:r>
              <w:rPr>
                <w:rFonts w:hint="default" w:cs="仿宋_GB2312"/>
                <w:lang w:val="en-US"/>
              </w:rPr>
              <w:t>5</w:t>
            </w:r>
            <w:r>
              <w:rPr>
                <w:rFonts w:hint="eastAsia" w:cs="仿宋_GB2312"/>
              </w:rPr>
              <w:t>0%</w:t>
            </w:r>
          </w:p>
        </w:tc>
        <w:tc>
          <w:tcPr>
            <w:tcW w:w="6870" w:type="dxa"/>
            <w:noWrap w:val="0"/>
            <w:vAlign w:val="center"/>
          </w:tcPr>
          <w:p w14:paraId="5F7EEE64">
            <w:pPr>
              <w:pStyle w:val="3"/>
              <w:rPr>
                <w:rFonts w:hint="eastAsia" w:cs="仿宋_GB2312"/>
              </w:rPr>
            </w:pPr>
            <w:r>
              <w:rPr>
                <w:rFonts w:hint="eastAsia" w:cs="仿宋_GB2312"/>
              </w:rPr>
              <w:t>合同签订</w:t>
            </w:r>
            <w:r>
              <w:rPr>
                <w:rFonts w:hint="eastAsia" w:cs="仿宋_GB2312"/>
                <w:lang w:val="en-US" w:eastAsia="zh-CN"/>
              </w:rPr>
              <w:t>后，完成合同要求的2024年数据上传并</w:t>
            </w:r>
            <w:r>
              <w:rPr>
                <w:rFonts w:hint="eastAsia" w:cs="仿宋_GB2312"/>
              </w:rPr>
              <w:t>收到成交人发票后，达到付款条件起30日内，支付合同总金额的</w:t>
            </w:r>
            <w:r>
              <w:rPr>
                <w:rFonts w:hint="default" w:cs="仿宋_GB2312"/>
                <w:lang w:val="en-US"/>
              </w:rPr>
              <w:t>5</w:t>
            </w:r>
            <w:r>
              <w:rPr>
                <w:rFonts w:hint="eastAsia" w:cs="仿宋_GB2312"/>
              </w:rPr>
              <w:t>0.00%</w:t>
            </w:r>
          </w:p>
        </w:tc>
      </w:tr>
      <w:tr w14:paraId="5CB6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898" w:type="dxa"/>
            <w:noWrap w:val="0"/>
            <w:vAlign w:val="center"/>
          </w:tcPr>
          <w:p w14:paraId="3C2E625F">
            <w:pPr>
              <w:pStyle w:val="3"/>
              <w:jc w:val="center"/>
              <w:rPr>
                <w:rFonts w:hint="eastAsia" w:cs="仿宋_GB2312"/>
              </w:rPr>
            </w:pPr>
          </w:p>
          <w:p w14:paraId="14A55456">
            <w:pPr>
              <w:pStyle w:val="3"/>
              <w:ind w:firstLine="0" w:firstLineChars="0"/>
              <w:jc w:val="center"/>
              <w:rPr>
                <w:rFonts w:hint="eastAsia" w:cs="仿宋_GB2312"/>
              </w:rPr>
            </w:pPr>
            <w:r>
              <w:rPr>
                <w:rFonts w:hint="eastAsia" w:cs="仿宋_GB2312"/>
              </w:rPr>
              <w:t>2</w:t>
            </w:r>
          </w:p>
          <w:p w14:paraId="14FF62B9">
            <w:pPr>
              <w:pStyle w:val="3"/>
              <w:jc w:val="center"/>
              <w:rPr>
                <w:rFonts w:cs="仿宋_GB2312"/>
              </w:rPr>
            </w:pPr>
          </w:p>
        </w:tc>
        <w:tc>
          <w:tcPr>
            <w:tcW w:w="1140" w:type="dxa"/>
            <w:noWrap w:val="0"/>
            <w:vAlign w:val="center"/>
          </w:tcPr>
          <w:p w14:paraId="25C37EDD">
            <w:pPr>
              <w:pStyle w:val="3"/>
              <w:ind w:firstLine="0" w:firstLineChars="0"/>
              <w:jc w:val="center"/>
              <w:rPr>
                <w:rFonts w:cs="仿宋_GB2312"/>
              </w:rPr>
            </w:pPr>
            <w:r>
              <w:rPr>
                <w:rFonts w:hint="default" w:cs="仿宋_GB2312"/>
                <w:lang w:val="en-US"/>
              </w:rPr>
              <w:t>5</w:t>
            </w:r>
            <w:r>
              <w:rPr>
                <w:rFonts w:hint="eastAsia" w:cs="仿宋_GB2312"/>
              </w:rPr>
              <w:t>0%</w:t>
            </w:r>
          </w:p>
        </w:tc>
        <w:tc>
          <w:tcPr>
            <w:tcW w:w="6870" w:type="dxa"/>
            <w:noWrap w:val="0"/>
            <w:vAlign w:val="center"/>
          </w:tcPr>
          <w:p w14:paraId="7F2F3B29">
            <w:pPr>
              <w:pStyle w:val="3"/>
              <w:rPr>
                <w:rFonts w:hint="eastAsia" w:cs="仿宋_GB2312"/>
              </w:rPr>
            </w:pPr>
            <w:r>
              <w:rPr>
                <w:rFonts w:hint="eastAsia" w:cs="仿宋_GB2312"/>
              </w:rPr>
              <w:t>完成</w:t>
            </w:r>
            <w:r>
              <w:rPr>
                <w:rFonts w:hint="eastAsia" w:cs="仿宋_GB2312"/>
                <w:lang w:val="en-US" w:eastAsia="zh-CN"/>
              </w:rPr>
              <w:t>2024年国资</w:t>
            </w:r>
            <w:r>
              <w:rPr>
                <w:rFonts w:hint="eastAsia" w:cs="仿宋_GB2312"/>
              </w:rPr>
              <w:t>年</w:t>
            </w:r>
            <w:r>
              <w:rPr>
                <w:rFonts w:hint="eastAsia" w:cs="仿宋_GB2312"/>
                <w:lang w:val="en-US" w:eastAsia="zh-CN"/>
              </w:rPr>
              <w:t>报</w:t>
            </w:r>
            <w:r>
              <w:rPr>
                <w:rFonts w:hint="eastAsia" w:cs="仿宋_GB2312"/>
              </w:rPr>
              <w:t>数据上报</w:t>
            </w:r>
            <w:r>
              <w:rPr>
                <w:rFonts w:hint="eastAsia" w:cs="仿宋_GB2312"/>
                <w:lang w:val="en-US" w:eastAsia="zh-CN"/>
              </w:rPr>
              <w:t>服务</w:t>
            </w:r>
            <w:r>
              <w:rPr>
                <w:rFonts w:hint="eastAsia" w:cs="仿宋_GB2312"/>
              </w:rPr>
              <w:t>并收到成交人发票后，达到付款条件起30日内，支付合同总金额的</w:t>
            </w:r>
            <w:r>
              <w:rPr>
                <w:rFonts w:hint="default" w:cs="仿宋_GB2312"/>
                <w:lang w:val="en-US"/>
              </w:rPr>
              <w:t>5</w:t>
            </w:r>
            <w:r>
              <w:rPr>
                <w:rFonts w:hint="eastAsia" w:cs="仿宋_GB2312"/>
              </w:rPr>
              <w:t>0.00%</w:t>
            </w:r>
          </w:p>
        </w:tc>
      </w:tr>
    </w:tbl>
    <w:p w14:paraId="4D31E086">
      <w:pPr>
        <w:pStyle w:val="3"/>
        <w:ind w:firstLine="479" w:firstLineChars="199"/>
        <w:rPr>
          <w:rStyle w:val="18"/>
          <w:rFonts w:hint="eastAsia" w:ascii="宋体" w:hAnsi="宋体" w:eastAsia="宋体" w:cs="仿宋_GB2312"/>
          <w:szCs w:val="24"/>
        </w:rPr>
      </w:pPr>
    </w:p>
    <w:p w14:paraId="4833D7DA">
      <w:pPr>
        <w:pStyle w:val="3"/>
        <w:rPr>
          <w:rFonts w:hint="eastAsia" w:cs="仿宋_GB231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D5307"/>
    <w:multiLevelType w:val="singleLevel"/>
    <w:tmpl w:val="B07D530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lYTdhNjI2MmNlNTMzYTBmMTk0NTBiOTg4MGYxNmUifQ=="/>
    <w:docVar w:name="KSO_WPS_MARK_KEY" w:val="ee744205-7323-4405-889c-472211a50494"/>
  </w:docVars>
  <w:rsids>
    <w:rsidRoot w:val="00C8537F"/>
    <w:rsid w:val="0002387C"/>
    <w:rsid w:val="0003763D"/>
    <w:rsid w:val="000C3529"/>
    <w:rsid w:val="00200F56"/>
    <w:rsid w:val="00211F79"/>
    <w:rsid w:val="00281663"/>
    <w:rsid w:val="003C3580"/>
    <w:rsid w:val="003D73C5"/>
    <w:rsid w:val="003F07AA"/>
    <w:rsid w:val="00406D61"/>
    <w:rsid w:val="004279F4"/>
    <w:rsid w:val="00445631"/>
    <w:rsid w:val="00456EC0"/>
    <w:rsid w:val="00486F8F"/>
    <w:rsid w:val="00554623"/>
    <w:rsid w:val="006A35AE"/>
    <w:rsid w:val="00705E9D"/>
    <w:rsid w:val="0074042D"/>
    <w:rsid w:val="00830451"/>
    <w:rsid w:val="008432E0"/>
    <w:rsid w:val="008B064B"/>
    <w:rsid w:val="00906641"/>
    <w:rsid w:val="00A53D4A"/>
    <w:rsid w:val="00A60DAC"/>
    <w:rsid w:val="00A709B7"/>
    <w:rsid w:val="00A71D0D"/>
    <w:rsid w:val="00AA0F7D"/>
    <w:rsid w:val="00AE0B01"/>
    <w:rsid w:val="00B375D2"/>
    <w:rsid w:val="00B406EC"/>
    <w:rsid w:val="00B86170"/>
    <w:rsid w:val="00C14803"/>
    <w:rsid w:val="00C8537F"/>
    <w:rsid w:val="00CA7431"/>
    <w:rsid w:val="00CF5406"/>
    <w:rsid w:val="00D338A6"/>
    <w:rsid w:val="00DD75AB"/>
    <w:rsid w:val="00E702C5"/>
    <w:rsid w:val="00EE256A"/>
    <w:rsid w:val="00F4106E"/>
    <w:rsid w:val="00F814FE"/>
    <w:rsid w:val="00FA2322"/>
    <w:rsid w:val="016D0DB5"/>
    <w:rsid w:val="01841B28"/>
    <w:rsid w:val="02BD2229"/>
    <w:rsid w:val="05267CA5"/>
    <w:rsid w:val="05F16ED1"/>
    <w:rsid w:val="05F72A1E"/>
    <w:rsid w:val="060943FF"/>
    <w:rsid w:val="097430E9"/>
    <w:rsid w:val="0B130793"/>
    <w:rsid w:val="0B6631C3"/>
    <w:rsid w:val="0B826D7F"/>
    <w:rsid w:val="0B953D3A"/>
    <w:rsid w:val="0C180EBA"/>
    <w:rsid w:val="0CBD0E6A"/>
    <w:rsid w:val="0EB448B0"/>
    <w:rsid w:val="0EEA3884"/>
    <w:rsid w:val="114C3EC3"/>
    <w:rsid w:val="12365B4E"/>
    <w:rsid w:val="12554D90"/>
    <w:rsid w:val="12971B91"/>
    <w:rsid w:val="14FF0466"/>
    <w:rsid w:val="1647584D"/>
    <w:rsid w:val="176207E6"/>
    <w:rsid w:val="17DA4F98"/>
    <w:rsid w:val="18283467"/>
    <w:rsid w:val="18325FC7"/>
    <w:rsid w:val="18650AD4"/>
    <w:rsid w:val="1B6D4B23"/>
    <w:rsid w:val="1DB327DC"/>
    <w:rsid w:val="1DFC5A91"/>
    <w:rsid w:val="1EA14033"/>
    <w:rsid w:val="1F4676C4"/>
    <w:rsid w:val="1F7B64A9"/>
    <w:rsid w:val="1FFC13FD"/>
    <w:rsid w:val="22195D78"/>
    <w:rsid w:val="238E1C84"/>
    <w:rsid w:val="2451233F"/>
    <w:rsid w:val="254456D2"/>
    <w:rsid w:val="257A34C3"/>
    <w:rsid w:val="278F1CC7"/>
    <w:rsid w:val="28A427B8"/>
    <w:rsid w:val="2B43020A"/>
    <w:rsid w:val="2CFF241A"/>
    <w:rsid w:val="2D824369"/>
    <w:rsid w:val="2E174FE1"/>
    <w:rsid w:val="2EBB2131"/>
    <w:rsid w:val="2EC94ECC"/>
    <w:rsid w:val="2FBD1543"/>
    <w:rsid w:val="303A202F"/>
    <w:rsid w:val="3056105E"/>
    <w:rsid w:val="30B002BF"/>
    <w:rsid w:val="30E26C65"/>
    <w:rsid w:val="30E93D92"/>
    <w:rsid w:val="31BE1D93"/>
    <w:rsid w:val="31D3525D"/>
    <w:rsid w:val="32F11C87"/>
    <w:rsid w:val="35102DBF"/>
    <w:rsid w:val="357A18DA"/>
    <w:rsid w:val="357C2CB6"/>
    <w:rsid w:val="35C97402"/>
    <w:rsid w:val="36EF782A"/>
    <w:rsid w:val="3B9600F4"/>
    <w:rsid w:val="3B9B1A3F"/>
    <w:rsid w:val="3C5073AE"/>
    <w:rsid w:val="3E066987"/>
    <w:rsid w:val="3EAB06C2"/>
    <w:rsid w:val="3EC07C05"/>
    <w:rsid w:val="3FC92F84"/>
    <w:rsid w:val="405F4974"/>
    <w:rsid w:val="40ED1A24"/>
    <w:rsid w:val="44A533D1"/>
    <w:rsid w:val="44D84778"/>
    <w:rsid w:val="486D39CD"/>
    <w:rsid w:val="490B656F"/>
    <w:rsid w:val="4A814D73"/>
    <w:rsid w:val="4DB574A3"/>
    <w:rsid w:val="4F450BCB"/>
    <w:rsid w:val="4FD14758"/>
    <w:rsid w:val="529A3DEB"/>
    <w:rsid w:val="52FF1C97"/>
    <w:rsid w:val="55651D2A"/>
    <w:rsid w:val="55FF412C"/>
    <w:rsid w:val="5868490F"/>
    <w:rsid w:val="58B77A62"/>
    <w:rsid w:val="59B92A23"/>
    <w:rsid w:val="59F65EBD"/>
    <w:rsid w:val="5AF7791D"/>
    <w:rsid w:val="5BA10A05"/>
    <w:rsid w:val="5CEE49F0"/>
    <w:rsid w:val="5D0B1396"/>
    <w:rsid w:val="5DC13151"/>
    <w:rsid w:val="611E405B"/>
    <w:rsid w:val="619909BC"/>
    <w:rsid w:val="63ED4204"/>
    <w:rsid w:val="64AD7E07"/>
    <w:rsid w:val="65F606A2"/>
    <w:rsid w:val="66705225"/>
    <w:rsid w:val="67BF49BC"/>
    <w:rsid w:val="68F002A5"/>
    <w:rsid w:val="6A0277CE"/>
    <w:rsid w:val="6A061AB1"/>
    <w:rsid w:val="6A1F6486"/>
    <w:rsid w:val="6AE11F2B"/>
    <w:rsid w:val="6E3D59EB"/>
    <w:rsid w:val="6EDD5FDC"/>
    <w:rsid w:val="6F1960B6"/>
    <w:rsid w:val="706F0977"/>
    <w:rsid w:val="718F57D3"/>
    <w:rsid w:val="742E479C"/>
    <w:rsid w:val="74527A9D"/>
    <w:rsid w:val="74E10A25"/>
    <w:rsid w:val="754E1E89"/>
    <w:rsid w:val="75AF702F"/>
    <w:rsid w:val="76151B9E"/>
    <w:rsid w:val="769D2064"/>
    <w:rsid w:val="774C4B02"/>
    <w:rsid w:val="775C7BE0"/>
    <w:rsid w:val="77CA2A34"/>
    <w:rsid w:val="79634538"/>
    <w:rsid w:val="7A7F59A6"/>
    <w:rsid w:val="7D122C54"/>
    <w:rsid w:val="7E7A1A17"/>
    <w:rsid w:val="7E7E17AD"/>
    <w:rsid w:val="7EFB502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kern w:val="2"/>
      <w:sz w:val="32"/>
      <w:szCs w:val="22"/>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32"/>
    </w:rPr>
  </w:style>
  <w:style w:type="paragraph" w:styleId="5">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6">
    <w:name w:val="heading 3"/>
    <w:basedOn w:val="1"/>
    <w:next w:val="1"/>
    <w:qFormat/>
    <w:uiPriority w:val="9"/>
    <w:pPr>
      <w:keepNext/>
      <w:keepLines/>
      <w:spacing w:before="260" w:after="260" w:line="416" w:lineRule="auto"/>
      <w:outlineLvl w:val="2"/>
    </w:pPr>
    <w:rPr>
      <w:b/>
      <w:bCs/>
      <w:sz w:val="32"/>
      <w:szCs w:val="32"/>
    </w:rPr>
  </w:style>
  <w:style w:type="paragraph" w:styleId="7">
    <w:name w:val="heading 4"/>
    <w:basedOn w:val="1"/>
    <w:next w:val="1"/>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8">
    <w:name w:val="heading 5"/>
    <w:basedOn w:val="1"/>
    <w:next w:val="1"/>
    <w:qFormat/>
    <w:uiPriority w:val="0"/>
    <w:pPr>
      <w:spacing w:before="100" w:beforeAutospacing="1" w:after="100" w:afterAutospacing="1"/>
      <w:jc w:val="left"/>
      <w:outlineLvl w:val="4"/>
    </w:pPr>
    <w:rPr>
      <w:rFonts w:hint="eastAsia" w:ascii="宋体" w:hAnsi="宋体" w:eastAsia="宋体" w:cs="宋体"/>
      <w:b/>
      <w:kern w:val="0"/>
      <w:sz w:val="20"/>
      <w:szCs w:val="20"/>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Style w:val="15"/>
      <w:tblCellMar>
        <w:top w:w="0" w:type="dxa"/>
        <w:left w:w="108" w:type="dxa"/>
        <w:bottom w:w="0" w:type="dxa"/>
        <w:right w:w="108" w:type="dxa"/>
      </w:tblCellMar>
    </w:tblPr>
  </w:style>
  <w:style w:type="paragraph" w:styleId="2">
    <w:name w:val="Body Text First Indent 2"/>
    <w:basedOn w:val="3"/>
    <w:qFormat/>
    <w:uiPriority w:val="0"/>
    <w:pPr>
      <w:spacing w:after="120" w:afterLines="0" w:line="240" w:lineRule="auto"/>
      <w:ind w:left="420" w:leftChars="200" w:firstLine="420"/>
    </w:pPr>
    <w:rPr>
      <w:sz w:val="21"/>
    </w:rPr>
  </w:style>
  <w:style w:type="paragraph" w:styleId="3">
    <w:name w:val="Body Text Indent"/>
    <w:basedOn w:val="1"/>
    <w:next w:val="2"/>
    <w:qFormat/>
    <w:uiPriority w:val="99"/>
    <w:pPr>
      <w:spacing w:line="540" w:lineRule="exact"/>
      <w:ind w:firstLine="480" w:firstLineChars="200"/>
    </w:pPr>
    <w:rPr>
      <w:sz w:val="24"/>
    </w:rPr>
  </w:style>
  <w:style w:type="paragraph" w:styleId="9">
    <w:name w:val="Body Text"/>
    <w:basedOn w:val="1"/>
    <w:qFormat/>
    <w:uiPriority w:val="0"/>
    <w:pPr>
      <w:spacing w:line="380" w:lineRule="exact"/>
    </w:pPr>
    <w:rPr>
      <w:sz w:val="24"/>
    </w:rPr>
  </w:style>
  <w:style w:type="paragraph" w:styleId="10">
    <w:name w:val="footer"/>
    <w:basedOn w:val="1"/>
    <w:link w:val="20"/>
    <w:uiPriority w:val="0"/>
    <w:pPr>
      <w:tabs>
        <w:tab w:val="center" w:pos="4153"/>
        <w:tab w:val="right" w:pos="8306"/>
      </w:tabs>
      <w:snapToGrid w:val="0"/>
      <w:jc w:val="left"/>
    </w:pPr>
    <w:rPr>
      <w:sz w:val="18"/>
      <w:szCs w:val="18"/>
    </w:rPr>
  </w:style>
  <w:style w:type="paragraph" w:styleId="11">
    <w:name w:val="header"/>
    <w:basedOn w:val="1"/>
    <w:link w:val="21"/>
    <w:uiPriority w:val="0"/>
    <w:pPr>
      <w:pBdr>
        <w:bottom w:val="single" w:color="auto" w:sz="6" w:space="1"/>
      </w:pBdr>
      <w:tabs>
        <w:tab w:val="center" w:pos="4153"/>
        <w:tab w:val="right" w:pos="8306"/>
      </w:tabs>
      <w:snapToGrid w:val="0"/>
      <w:jc w:val="center"/>
    </w:pPr>
    <w:rPr>
      <w:sz w:val="18"/>
      <w:szCs w:val="18"/>
    </w:rPr>
  </w:style>
  <w:style w:type="paragraph" w:styleId="12">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Cs w:val="24"/>
    </w:rPr>
  </w:style>
  <w:style w:type="paragraph" w:styleId="13">
    <w:name w:val="Normal (Web)"/>
    <w:basedOn w:val="1"/>
    <w:uiPriority w:val="0"/>
    <w:pPr>
      <w:spacing w:before="100" w:beforeAutospacing="1" w:after="100" w:afterAutospacing="1"/>
      <w:ind w:left="0" w:right="0"/>
      <w:jc w:val="left"/>
    </w:pPr>
    <w:rPr>
      <w:kern w:val="0"/>
      <w:sz w:val="24"/>
      <w:lang w:val="en-US" w:eastAsia="zh-CN" w:bidi="ar"/>
    </w:rPr>
  </w:style>
  <w:style w:type="paragraph" w:styleId="14">
    <w:name w:val="Title"/>
    <w:basedOn w:val="1"/>
    <w:next w:val="1"/>
    <w:qFormat/>
    <w:uiPriority w:val="0"/>
    <w:pPr>
      <w:spacing w:before="240" w:after="60"/>
      <w:jc w:val="center"/>
      <w:outlineLvl w:val="0"/>
    </w:pPr>
    <w:rPr>
      <w:rFonts w:ascii="Cambria" w:hAnsi="Cambria" w:cs="Times New Roman"/>
      <w:b/>
      <w:bCs/>
      <w:sz w:val="32"/>
      <w:szCs w:val="32"/>
    </w:rPr>
  </w:style>
  <w:style w:type="table" w:styleId="16">
    <w:name w:val="Table Grid"/>
    <w:basedOn w:val="15"/>
    <w:qFormat/>
    <w:uiPriority w:val="0"/>
    <w:pPr>
      <w:widowControl w:val="0"/>
      <w:jc w:val="both"/>
    </w:p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rPr>
  </w:style>
  <w:style w:type="character" w:styleId="19">
    <w:name w:val="HTML Code"/>
    <w:unhideWhenUsed/>
    <w:qFormat/>
    <w:uiPriority w:val="99"/>
    <w:rPr>
      <w:rFonts w:ascii="宋体" w:hAnsi="宋体" w:eastAsia="宋体" w:cs="宋体"/>
      <w:sz w:val="24"/>
      <w:szCs w:val="24"/>
    </w:rPr>
  </w:style>
  <w:style w:type="character" w:customStyle="1" w:styleId="20">
    <w:name w:val="页脚 Char"/>
    <w:link w:val="10"/>
    <w:uiPriority w:val="0"/>
    <w:rPr>
      <w:rFonts w:ascii="Calibri" w:hAnsi="Calibri" w:eastAsia="仿宋_GB2312"/>
      <w:kern w:val="2"/>
      <w:sz w:val="18"/>
      <w:szCs w:val="18"/>
    </w:rPr>
  </w:style>
  <w:style w:type="character" w:customStyle="1" w:styleId="21">
    <w:name w:val="页眉 Char"/>
    <w:link w:val="11"/>
    <w:uiPriority w:val="0"/>
    <w:rPr>
      <w:rFonts w:ascii="Calibri" w:hAnsi="Calibri" w:eastAsia="仿宋_GB2312"/>
      <w:kern w:val="2"/>
      <w:sz w:val="18"/>
      <w:szCs w:val="18"/>
    </w:rPr>
  </w:style>
  <w:style w:type="paragraph" w:styleId="22">
    <w:name w:val="List Paragraph"/>
    <w:basedOn w:val="1"/>
    <w:qFormat/>
    <w:uiPriority w:val="34"/>
    <w:pPr>
      <w:ind w:firstLine="420" w:firstLineChars="200"/>
    </w:pPr>
    <w:rPr>
      <w:rFonts w:ascii="Calibri" w:hAnsi="Calibri" w:eastAsia="宋体" w:cs="Times New Roman"/>
      <w:szCs w:val="22"/>
    </w:rPr>
  </w:style>
  <w:style w:type="paragraph" w:customStyle="1" w:styleId="23">
    <w:name w:val="段"/>
    <w:next w:val="1"/>
    <w:qFormat/>
    <w:uiPriority w:val="0"/>
    <w:pPr>
      <w:autoSpaceDE w:val="0"/>
      <w:autoSpaceDN w:val="0"/>
      <w:adjustRightInd w:val="0"/>
      <w:snapToGrid w:val="0"/>
      <w:spacing w:line="360" w:lineRule="auto"/>
      <w:ind w:firstLine="200" w:firstLineChars="200"/>
      <w:jc w:val="both"/>
    </w:pPr>
    <w:rPr>
      <w:rFonts w:ascii="宋体"/>
      <w:sz w:val="24"/>
      <w:szCs w:val="22"/>
      <w:lang w:val="en-US" w:eastAsia="zh-CN" w:bidi="ar-SA"/>
    </w:rPr>
  </w:style>
  <w:style w:type="paragraph" w:customStyle="1" w:styleId="24">
    <w:name w:val="列表段落1"/>
    <w:basedOn w:val="1"/>
    <w:qFormat/>
    <w:uiPriority w:val="0"/>
    <w:pPr>
      <w:spacing w:line="360" w:lineRule="auto"/>
      <w:ind w:firstLine="420" w:firstLineChars="200"/>
    </w:pPr>
    <w:rPr>
      <w:rFonts w:ascii="Times New Roman" w:hAnsi="Times New Roman" w:eastAsia="宋体"/>
      <w:sz w:val="21"/>
    </w:rPr>
  </w:style>
  <w:style w:type="paragraph" w:customStyle="1" w:styleId="25">
    <w:name w:val="正文 A"/>
    <w:qFormat/>
    <w:uiPriority w:val="0"/>
    <w:pPr>
      <w:framePr w:wrap="around" w:vAnchor="margin" w:hAnchor="text" w:y="1"/>
      <w:widowControl w:val="0"/>
      <w:jc w:val="both"/>
    </w:pPr>
    <w:rPr>
      <w:rFonts w:eastAsia="Arial Unicode MS" w:cs="Arial Unicode MS"/>
      <w:color w:val="000000"/>
      <w:kern w:val="2"/>
      <w:sz w:val="21"/>
      <w:szCs w:val="21"/>
      <w:u w:val="none"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1896</Words>
  <Characters>1947</Characters>
  <Lines>14</Lines>
  <Paragraphs>4</Paragraphs>
  <TotalTime>1</TotalTime>
  <ScaleCrop>false</ScaleCrop>
  <LinksUpToDate>false</LinksUpToDate>
  <CharactersWithSpaces>1951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2024-08-29T18:10:00Z</dcterms:created>
  <dc:creator>Administrator</dc:creator>
  <cp:lastModifiedBy>肖华香</cp:lastModifiedBy>
  <cp:lastPrinted>2024-05-06T18:47:00Z</cp:lastPrinted>
  <dcterms:modified xsi:type="dcterms:W3CDTF">2024-10-12T02:56:24Z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20F0245B155149ABAC614565C77DF7A7_13</vt:lpwstr>
  </property>
</Properties>
</file>