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83C10">
      <w:pPr>
        <w:pStyle w:val="28"/>
        <w:keepNext w:val="0"/>
        <w:keepLines w:val="0"/>
        <w:pageBreakBefore w:val="0"/>
        <w:widowControl/>
        <w:kinsoku/>
        <w:wordWrap/>
        <w:overflowPunct/>
        <w:topLinePunct w:val="0"/>
        <w:autoSpaceDE/>
        <w:autoSpaceDN/>
        <w:bidi w:val="0"/>
        <w:adjustRightInd/>
        <w:snapToGrid/>
        <w:spacing w:line="360" w:lineRule="auto"/>
        <w:textAlignment w:val="auto"/>
        <w:rPr>
          <w:rFonts w:hint="eastAsia"/>
          <w:highlight w:val="none"/>
          <w:lang w:val="en-US" w:eastAsia="zh-Hans"/>
        </w:rPr>
      </w:pPr>
      <w:r>
        <w:rPr>
          <w:highlight w:val="none"/>
        </w:rPr>
        <w:br w:type="textWrapping"/>
      </w:r>
    </w:p>
    <w:p w14:paraId="58C9057E">
      <w:pPr>
        <w:pStyle w:val="28"/>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ajorEastAsia" w:hAnsiTheme="majorEastAsia" w:eastAsiaTheme="majorEastAsia" w:cstheme="majorEastAsia"/>
          <w:sz w:val="56"/>
          <w:szCs w:val="56"/>
          <w:highlight w:val="none"/>
        </w:rPr>
      </w:pPr>
      <w:bookmarkStart w:id="0" w:name="_Toc15656"/>
      <w:bookmarkStart w:id="1" w:name="_Toc11822"/>
      <w:bookmarkStart w:id="2" w:name="_Toc22137"/>
      <w:r>
        <w:rPr>
          <w:rFonts w:hint="eastAsia" w:asciiTheme="majorEastAsia" w:hAnsiTheme="majorEastAsia" w:eastAsiaTheme="majorEastAsia" w:cstheme="majorEastAsia"/>
          <w:b/>
          <w:sz w:val="56"/>
          <w:szCs w:val="56"/>
          <w:highlight w:val="none"/>
        </w:rPr>
        <w:t>福建省儿童医院采购项目</w:t>
      </w:r>
      <w:bookmarkEnd w:id="0"/>
      <w:bookmarkEnd w:id="1"/>
      <w:bookmarkEnd w:id="2"/>
    </w:p>
    <w:p w14:paraId="32FD9306">
      <w:pPr>
        <w:pStyle w:val="28"/>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ajorEastAsia" w:hAnsiTheme="majorEastAsia" w:eastAsiaTheme="majorEastAsia" w:cstheme="majorEastAsia"/>
          <w:sz w:val="56"/>
          <w:szCs w:val="56"/>
          <w:highlight w:val="none"/>
        </w:rPr>
      </w:pPr>
      <w:bookmarkStart w:id="3" w:name="_Toc2329"/>
      <w:bookmarkStart w:id="4" w:name="_Toc9330"/>
      <w:bookmarkStart w:id="5" w:name="_Toc27075"/>
      <w:r>
        <w:rPr>
          <w:rFonts w:hint="eastAsia" w:asciiTheme="majorEastAsia" w:hAnsiTheme="majorEastAsia" w:eastAsiaTheme="majorEastAsia" w:cstheme="majorEastAsia"/>
          <w:b/>
          <w:sz w:val="56"/>
          <w:szCs w:val="56"/>
          <w:highlight w:val="none"/>
        </w:rPr>
        <w:t>竞争性磋商文件</w:t>
      </w:r>
      <w:bookmarkEnd w:id="3"/>
      <w:bookmarkEnd w:id="4"/>
      <w:bookmarkEnd w:id="5"/>
    </w:p>
    <w:p w14:paraId="7B31FE40">
      <w:pPr>
        <w:pStyle w:val="28"/>
        <w:pageBreakBefore w:val="0"/>
        <w:kinsoku/>
        <w:wordWrap/>
        <w:overflowPunct/>
        <w:topLinePunct w:val="0"/>
        <w:bidi w:val="0"/>
        <w:spacing w:line="400" w:lineRule="exact"/>
        <w:jc w:val="center"/>
        <w:textAlignment w:val="auto"/>
        <w:outlineLvl w:val="9"/>
        <w:rPr>
          <w:b/>
          <w:sz w:val="56"/>
          <w:szCs w:val="56"/>
          <w:highlight w:val="none"/>
        </w:rPr>
      </w:pPr>
    </w:p>
    <w:p w14:paraId="274C3A3D">
      <w:pPr>
        <w:pStyle w:val="28"/>
        <w:pageBreakBefore w:val="0"/>
        <w:kinsoku/>
        <w:wordWrap/>
        <w:overflowPunct/>
        <w:topLinePunct w:val="0"/>
        <w:bidi w:val="0"/>
        <w:spacing w:line="400" w:lineRule="exact"/>
        <w:jc w:val="center"/>
        <w:textAlignment w:val="auto"/>
        <w:outlineLvl w:val="9"/>
        <w:rPr>
          <w:b/>
          <w:sz w:val="56"/>
          <w:szCs w:val="56"/>
          <w:highlight w:val="none"/>
        </w:rPr>
      </w:pPr>
    </w:p>
    <w:p w14:paraId="256B84B4">
      <w:pPr>
        <w:pStyle w:val="28"/>
        <w:pageBreakBefore w:val="0"/>
        <w:kinsoku/>
        <w:wordWrap/>
        <w:overflowPunct/>
        <w:topLinePunct w:val="0"/>
        <w:bidi w:val="0"/>
        <w:spacing w:line="400" w:lineRule="exact"/>
        <w:jc w:val="center"/>
        <w:textAlignment w:val="auto"/>
        <w:outlineLvl w:val="9"/>
        <w:rPr>
          <w:b/>
          <w:sz w:val="56"/>
          <w:szCs w:val="56"/>
          <w:highlight w:val="none"/>
        </w:rPr>
      </w:pPr>
    </w:p>
    <w:p w14:paraId="0D13A10A">
      <w:pPr>
        <w:pStyle w:val="28"/>
        <w:pageBreakBefore w:val="0"/>
        <w:kinsoku/>
        <w:wordWrap/>
        <w:overflowPunct/>
        <w:topLinePunct w:val="0"/>
        <w:bidi w:val="0"/>
        <w:spacing w:line="400" w:lineRule="exact"/>
        <w:jc w:val="center"/>
        <w:textAlignment w:val="auto"/>
        <w:outlineLvl w:val="9"/>
        <w:rPr>
          <w:b/>
          <w:sz w:val="56"/>
          <w:szCs w:val="56"/>
          <w:highlight w:val="none"/>
        </w:rPr>
      </w:pPr>
    </w:p>
    <w:p w14:paraId="7C1CE129">
      <w:pPr>
        <w:pStyle w:val="28"/>
        <w:pageBreakBefore w:val="0"/>
        <w:kinsoku/>
        <w:wordWrap/>
        <w:overflowPunct/>
        <w:topLinePunct w:val="0"/>
        <w:bidi w:val="0"/>
        <w:spacing w:line="400" w:lineRule="exact"/>
        <w:jc w:val="center"/>
        <w:textAlignment w:val="auto"/>
        <w:outlineLvl w:val="9"/>
        <w:rPr>
          <w:b/>
          <w:sz w:val="56"/>
          <w:szCs w:val="56"/>
          <w:highlight w:val="none"/>
        </w:rPr>
      </w:pPr>
    </w:p>
    <w:p w14:paraId="6D4E2A2D">
      <w:pPr>
        <w:pStyle w:val="28"/>
        <w:pageBreakBefore w:val="0"/>
        <w:kinsoku/>
        <w:wordWrap/>
        <w:overflowPunct/>
        <w:topLinePunct w:val="0"/>
        <w:bidi w:val="0"/>
        <w:spacing w:line="400" w:lineRule="exact"/>
        <w:jc w:val="center"/>
        <w:textAlignment w:val="auto"/>
        <w:outlineLvl w:val="9"/>
        <w:rPr>
          <w:b/>
          <w:sz w:val="56"/>
          <w:szCs w:val="56"/>
          <w:highlight w:val="none"/>
        </w:rPr>
      </w:pPr>
    </w:p>
    <w:p w14:paraId="679869BC">
      <w:pPr>
        <w:pStyle w:val="28"/>
        <w:keepNext w:val="0"/>
        <w:keepLines w:val="0"/>
        <w:pageBreakBefore w:val="0"/>
        <w:widowControl/>
        <w:kinsoku/>
        <w:wordWrap/>
        <w:overflowPunct/>
        <w:topLinePunct w:val="0"/>
        <w:autoSpaceDE/>
        <w:autoSpaceDN/>
        <w:bidi w:val="0"/>
        <w:adjustRightInd/>
        <w:spacing w:line="360" w:lineRule="auto"/>
        <w:ind w:left="2707" w:leftChars="400" w:hanging="1747" w:hangingChars="580"/>
        <w:jc w:val="left"/>
        <w:textAlignment w:val="auto"/>
        <w:outlineLvl w:val="9"/>
        <w:rPr>
          <w:rFonts w:hint="eastAsia" w:asciiTheme="majorEastAsia" w:hAnsiTheme="majorEastAsia" w:eastAsiaTheme="majorEastAsia" w:cstheme="majorEastAsia"/>
          <w:sz w:val="30"/>
          <w:szCs w:val="30"/>
          <w:highlight w:val="none"/>
          <w:lang w:eastAsia="zh-CN"/>
        </w:rPr>
      </w:pPr>
      <w:r>
        <w:rPr>
          <w:rFonts w:hint="eastAsia" w:asciiTheme="majorEastAsia" w:hAnsiTheme="majorEastAsia" w:eastAsiaTheme="majorEastAsia" w:cstheme="majorEastAsia"/>
          <w:b/>
          <w:sz w:val="30"/>
          <w:szCs w:val="30"/>
          <w:highlight w:val="none"/>
        </w:rPr>
        <w:t>项目名称：</w:t>
      </w:r>
      <w:r>
        <w:rPr>
          <w:rFonts w:hint="eastAsia" w:asciiTheme="majorEastAsia" w:hAnsiTheme="majorEastAsia" w:eastAsiaTheme="majorEastAsia" w:cstheme="majorEastAsia"/>
          <w:b/>
          <w:sz w:val="30"/>
          <w:szCs w:val="30"/>
          <w:highlight w:val="none"/>
          <w:lang w:eastAsia="zh-CN"/>
        </w:rPr>
        <w:t>上海儿童医学中心福建医院——国家区域医疗中心建设项目（二期）方案及初步设计</w:t>
      </w:r>
    </w:p>
    <w:p w14:paraId="122A4408">
      <w:pPr>
        <w:pStyle w:val="28"/>
        <w:keepNext w:val="0"/>
        <w:keepLines w:val="0"/>
        <w:pageBreakBefore w:val="0"/>
        <w:widowControl/>
        <w:kinsoku/>
        <w:wordWrap/>
        <w:overflowPunct/>
        <w:topLinePunct w:val="0"/>
        <w:autoSpaceDE/>
        <w:autoSpaceDN/>
        <w:bidi w:val="0"/>
        <w:adjustRightInd/>
        <w:spacing w:line="360" w:lineRule="auto"/>
        <w:ind w:firstLine="904" w:firstLineChars="300"/>
        <w:jc w:val="left"/>
        <w:textAlignment w:val="auto"/>
        <w:outlineLvl w:val="0"/>
        <w:rPr>
          <w:rFonts w:hint="eastAsia" w:asciiTheme="majorEastAsia" w:hAnsiTheme="majorEastAsia" w:eastAsiaTheme="majorEastAsia" w:cstheme="majorEastAsia"/>
          <w:sz w:val="30"/>
          <w:szCs w:val="30"/>
          <w:highlight w:val="none"/>
          <w:lang w:eastAsia="zh-CN"/>
        </w:rPr>
      </w:pPr>
      <w:bookmarkStart w:id="6" w:name="_Toc22550"/>
      <w:bookmarkStart w:id="7" w:name="_Toc12568"/>
      <w:bookmarkStart w:id="8" w:name="_Toc4182"/>
      <w:r>
        <w:rPr>
          <w:rFonts w:hint="eastAsia" w:asciiTheme="majorEastAsia" w:hAnsiTheme="majorEastAsia" w:eastAsiaTheme="majorEastAsia" w:cstheme="majorEastAsia"/>
          <w:b/>
          <w:sz w:val="30"/>
          <w:szCs w:val="30"/>
          <w:highlight w:val="none"/>
        </w:rPr>
        <w:t>项目编号：ETHQZB202501</w:t>
      </w:r>
      <w:bookmarkEnd w:id="6"/>
      <w:bookmarkEnd w:id="7"/>
      <w:bookmarkEnd w:id="8"/>
    </w:p>
    <w:p w14:paraId="64C996DB">
      <w:pPr>
        <w:pStyle w:val="28"/>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Theme="majorEastAsia" w:hAnsiTheme="majorEastAsia" w:eastAsiaTheme="majorEastAsia" w:cstheme="majorEastAsia"/>
          <w:b/>
          <w:sz w:val="30"/>
          <w:szCs w:val="30"/>
          <w:highlight w:val="none"/>
        </w:rPr>
      </w:pPr>
    </w:p>
    <w:p w14:paraId="7AB2674F">
      <w:pPr>
        <w:pStyle w:val="28"/>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Theme="majorEastAsia" w:hAnsiTheme="majorEastAsia" w:eastAsiaTheme="majorEastAsia" w:cstheme="majorEastAsia"/>
          <w:b/>
          <w:sz w:val="30"/>
          <w:szCs w:val="30"/>
          <w:highlight w:val="none"/>
        </w:rPr>
      </w:pPr>
    </w:p>
    <w:p w14:paraId="2D83ADFA">
      <w:pPr>
        <w:pStyle w:val="28"/>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Theme="majorEastAsia" w:hAnsiTheme="majorEastAsia" w:eastAsiaTheme="majorEastAsia" w:cstheme="majorEastAsia"/>
          <w:b/>
          <w:sz w:val="30"/>
          <w:szCs w:val="30"/>
          <w:highlight w:val="none"/>
        </w:rPr>
      </w:pPr>
    </w:p>
    <w:p w14:paraId="5F2CD1EA">
      <w:pPr>
        <w:pStyle w:val="28"/>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Theme="majorEastAsia" w:hAnsiTheme="majorEastAsia" w:eastAsiaTheme="majorEastAsia" w:cstheme="majorEastAsia"/>
          <w:b/>
          <w:sz w:val="30"/>
          <w:szCs w:val="30"/>
          <w:highlight w:val="none"/>
        </w:rPr>
      </w:pPr>
    </w:p>
    <w:p w14:paraId="6B06056E">
      <w:pPr>
        <w:pStyle w:val="28"/>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Theme="majorEastAsia" w:hAnsiTheme="majorEastAsia" w:eastAsiaTheme="majorEastAsia" w:cstheme="majorEastAsia"/>
          <w:b/>
          <w:sz w:val="30"/>
          <w:szCs w:val="30"/>
          <w:highlight w:val="none"/>
        </w:rPr>
      </w:pPr>
    </w:p>
    <w:p w14:paraId="50EABF24">
      <w:pPr>
        <w:pStyle w:val="28"/>
        <w:keepNext w:val="0"/>
        <w:keepLines w:val="0"/>
        <w:pageBreakBefore w:val="0"/>
        <w:widowControl/>
        <w:kinsoku/>
        <w:wordWrap/>
        <w:overflowPunct/>
        <w:topLinePunct w:val="0"/>
        <w:autoSpaceDE/>
        <w:autoSpaceDN/>
        <w:bidi w:val="0"/>
        <w:adjustRightInd/>
        <w:spacing w:line="360" w:lineRule="auto"/>
        <w:jc w:val="center"/>
        <w:textAlignment w:val="auto"/>
        <w:outlineLvl w:val="9"/>
        <w:rPr>
          <w:rFonts w:hint="eastAsia" w:asciiTheme="majorEastAsia" w:hAnsiTheme="majorEastAsia" w:eastAsiaTheme="majorEastAsia" w:cstheme="majorEastAsia"/>
          <w:b/>
          <w:sz w:val="30"/>
          <w:szCs w:val="30"/>
          <w:highlight w:val="none"/>
        </w:rPr>
      </w:pPr>
    </w:p>
    <w:p w14:paraId="22605D8F">
      <w:pPr>
        <w:pStyle w:val="28"/>
        <w:keepNext w:val="0"/>
        <w:keepLines w:val="0"/>
        <w:pageBreakBefore w:val="0"/>
        <w:widowControl/>
        <w:kinsoku/>
        <w:wordWrap/>
        <w:overflowPunct/>
        <w:topLinePunct w:val="0"/>
        <w:autoSpaceDE/>
        <w:autoSpaceDN/>
        <w:bidi w:val="0"/>
        <w:adjustRightInd/>
        <w:snapToGrid w:val="0"/>
        <w:spacing w:line="360" w:lineRule="auto"/>
        <w:jc w:val="center"/>
        <w:textAlignment w:val="auto"/>
        <w:outlineLvl w:val="0"/>
        <w:rPr>
          <w:rFonts w:hint="eastAsia" w:asciiTheme="majorEastAsia" w:hAnsiTheme="majorEastAsia" w:eastAsiaTheme="majorEastAsia" w:cstheme="majorEastAsia"/>
          <w:b/>
          <w:sz w:val="30"/>
          <w:szCs w:val="30"/>
          <w:highlight w:val="none"/>
        </w:rPr>
      </w:pPr>
      <w:bookmarkStart w:id="9" w:name="_Toc14912"/>
      <w:bookmarkStart w:id="10" w:name="_Toc28473"/>
    </w:p>
    <w:p w14:paraId="133BFF0B">
      <w:pPr>
        <w:pStyle w:val="28"/>
        <w:keepNext w:val="0"/>
        <w:keepLines w:val="0"/>
        <w:pageBreakBefore w:val="0"/>
        <w:widowControl/>
        <w:kinsoku/>
        <w:wordWrap/>
        <w:overflowPunct/>
        <w:topLinePunct w:val="0"/>
        <w:autoSpaceDE/>
        <w:autoSpaceDN/>
        <w:bidi w:val="0"/>
        <w:adjustRightInd/>
        <w:snapToGrid w:val="0"/>
        <w:spacing w:line="360" w:lineRule="auto"/>
        <w:jc w:val="center"/>
        <w:textAlignment w:val="auto"/>
        <w:outlineLvl w:val="0"/>
        <w:rPr>
          <w:rFonts w:hint="eastAsia" w:asciiTheme="majorEastAsia" w:hAnsiTheme="majorEastAsia" w:eastAsiaTheme="majorEastAsia" w:cstheme="majorEastAsia"/>
          <w:sz w:val="30"/>
          <w:szCs w:val="30"/>
          <w:highlight w:val="none"/>
          <w:lang w:eastAsia="zh-CN"/>
        </w:rPr>
      </w:pPr>
      <w:bookmarkStart w:id="11" w:name="_Toc22538"/>
      <w:r>
        <w:rPr>
          <w:rFonts w:hint="eastAsia" w:asciiTheme="majorEastAsia" w:hAnsiTheme="majorEastAsia" w:eastAsiaTheme="majorEastAsia" w:cstheme="majorEastAsia"/>
          <w:b/>
          <w:sz w:val="30"/>
          <w:szCs w:val="30"/>
          <w:highlight w:val="none"/>
        </w:rPr>
        <w:t>采购人：</w:t>
      </w:r>
      <w:r>
        <w:rPr>
          <w:rFonts w:hint="eastAsia" w:asciiTheme="majorEastAsia" w:hAnsiTheme="majorEastAsia" w:eastAsiaTheme="majorEastAsia" w:cstheme="majorEastAsia"/>
          <w:b/>
          <w:sz w:val="30"/>
          <w:szCs w:val="30"/>
          <w:highlight w:val="none"/>
          <w:lang w:eastAsia="zh-CN"/>
        </w:rPr>
        <w:t>福建省儿童医院</w:t>
      </w:r>
      <w:bookmarkEnd w:id="9"/>
      <w:bookmarkEnd w:id="10"/>
      <w:bookmarkEnd w:id="11"/>
    </w:p>
    <w:p w14:paraId="118DC1F0">
      <w:pPr>
        <w:pStyle w:val="28"/>
        <w:keepNext w:val="0"/>
        <w:keepLines w:val="0"/>
        <w:pageBreakBefore w:val="0"/>
        <w:widowControl/>
        <w:kinsoku/>
        <w:wordWrap/>
        <w:overflowPunct/>
        <w:topLinePunct w:val="0"/>
        <w:autoSpaceDE/>
        <w:autoSpaceDN/>
        <w:bidi w:val="0"/>
        <w:adjustRightInd/>
        <w:snapToGrid w:val="0"/>
        <w:spacing w:line="360" w:lineRule="auto"/>
        <w:jc w:val="center"/>
        <w:textAlignment w:val="auto"/>
        <w:outlineLvl w:val="9"/>
        <w:rPr>
          <w:rFonts w:hint="eastAsia" w:asciiTheme="majorEastAsia" w:hAnsiTheme="majorEastAsia" w:eastAsiaTheme="majorEastAsia" w:cstheme="majorEastAsia"/>
          <w:sz w:val="30"/>
          <w:szCs w:val="30"/>
          <w:highlight w:val="none"/>
        </w:rPr>
      </w:pPr>
      <w:r>
        <w:rPr>
          <w:rFonts w:hint="eastAsia" w:asciiTheme="majorEastAsia" w:hAnsiTheme="majorEastAsia" w:eastAsiaTheme="majorEastAsia" w:cstheme="majorEastAsia"/>
          <w:b/>
          <w:sz w:val="30"/>
          <w:szCs w:val="30"/>
          <w:highlight w:val="none"/>
        </w:rPr>
        <w:t>编制时间：2024年1</w:t>
      </w:r>
      <w:r>
        <w:rPr>
          <w:rFonts w:hint="eastAsia" w:asciiTheme="majorEastAsia" w:hAnsiTheme="majorEastAsia" w:eastAsiaTheme="majorEastAsia" w:cstheme="majorEastAsia"/>
          <w:b/>
          <w:sz w:val="30"/>
          <w:szCs w:val="30"/>
          <w:highlight w:val="none"/>
          <w:lang w:val="en-US" w:eastAsia="zh-CN"/>
        </w:rPr>
        <w:t>2</w:t>
      </w:r>
      <w:r>
        <w:rPr>
          <w:rFonts w:hint="eastAsia" w:asciiTheme="majorEastAsia" w:hAnsiTheme="majorEastAsia" w:eastAsiaTheme="majorEastAsia" w:cstheme="majorEastAsia"/>
          <w:b/>
          <w:sz w:val="30"/>
          <w:szCs w:val="30"/>
          <w:highlight w:val="none"/>
        </w:rPr>
        <w:t>月</w:t>
      </w:r>
    </w:p>
    <w:p w14:paraId="513B7309">
      <w:pPr>
        <w:pStyle w:val="28"/>
        <w:keepNext w:val="0"/>
        <w:keepLines w:val="0"/>
        <w:pageBreakBefore w:val="0"/>
        <w:widowControl/>
        <w:kinsoku/>
        <w:wordWrap/>
        <w:overflowPunct/>
        <w:topLinePunct w:val="0"/>
        <w:autoSpaceDE/>
        <w:autoSpaceDN/>
        <w:bidi w:val="0"/>
        <w:adjustRightInd/>
        <w:spacing w:line="360" w:lineRule="auto"/>
        <w:jc w:val="center"/>
        <w:textAlignment w:val="auto"/>
        <w:outlineLvl w:val="9"/>
        <w:rPr>
          <w:highlight w:val="none"/>
        </w:rPr>
        <w:sectPr>
          <w:pgSz w:w="11906" w:h="16838"/>
          <w:pgMar w:top="1440" w:right="1800" w:bottom="1440" w:left="1800" w:header="851" w:footer="992" w:gutter="0"/>
          <w:cols w:space="425" w:num="1"/>
          <w:docGrid w:type="lines" w:linePitch="312" w:charSpace="0"/>
        </w:sectPr>
      </w:pPr>
      <w:r>
        <w:rPr>
          <w:highlight w:val="none"/>
        </w:rPr>
        <w:t xml:space="preserve"> </w:t>
      </w:r>
      <w:r>
        <w:rPr>
          <w:highlight w:val="none"/>
        </w:rPr>
        <w:br w:type="textWrapping"/>
      </w:r>
    </w:p>
    <w:sdt>
      <w:sdtPr>
        <w:rPr>
          <w:rFonts w:ascii="宋体" w:hAnsi="宋体" w:eastAsia="宋体" w:cstheme="minorBidi"/>
          <w:b/>
          <w:bCs/>
          <w:kern w:val="2"/>
          <w:sz w:val="21"/>
          <w:szCs w:val="24"/>
          <w:highlight w:val="none"/>
          <w:lang w:val="en-US" w:eastAsia="zh-CN" w:bidi="ar-SA"/>
        </w:rPr>
        <w:id w:val="147473895"/>
        <w15:color w:val="DBDBDB"/>
        <w:docPartObj>
          <w:docPartGallery w:val="Table of Contents"/>
          <w:docPartUnique/>
        </w:docPartObj>
      </w:sdtPr>
      <w:sdtEndPr>
        <w:rPr>
          <w:rFonts w:hint="eastAsia" w:ascii="宋体" w:hAnsi="宋体" w:eastAsia="宋体" w:cs="宋体"/>
          <w:b/>
          <w:bCs/>
          <w:kern w:val="2"/>
          <w:sz w:val="24"/>
          <w:szCs w:val="24"/>
          <w:highlight w:val="none"/>
          <w:lang w:val="en-US" w:eastAsia="zh-Hans" w:bidi="ar-SA"/>
        </w:rPr>
      </w:sdtEndPr>
      <w:sdtContent>
        <w:p w14:paraId="17C98552">
          <w:pPr>
            <w:pageBreakBefore w:val="0"/>
            <w:kinsoku/>
            <w:wordWrap/>
            <w:overflowPunct/>
            <w:topLinePunct w:val="0"/>
            <w:bidi w:val="0"/>
            <w:spacing w:before="0" w:beforeLines="0" w:after="0" w:afterLines="0" w:line="400" w:lineRule="exact"/>
            <w:ind w:left="0" w:leftChars="0" w:right="0" w:rightChars="0" w:firstLine="0" w:firstLineChars="0"/>
            <w:jc w:val="center"/>
            <w:textAlignment w:val="auto"/>
            <w:outlineLvl w:val="9"/>
            <w:rPr>
              <w:rFonts w:hint="eastAsia" w:ascii="宋体" w:hAnsi="宋体" w:eastAsia="宋体" w:cs="宋体"/>
              <w:kern w:val="2"/>
              <w:sz w:val="24"/>
              <w:szCs w:val="24"/>
              <w:highlight w:val="none"/>
              <w:lang w:val="en-US" w:eastAsia="zh-CN" w:bidi="ar-SA"/>
            </w:rPr>
          </w:pPr>
          <w:r>
            <w:rPr>
              <w:rFonts w:hint="eastAsia" w:ascii="宋体" w:hAnsi="宋体" w:eastAsia="宋体" w:cs="宋体"/>
              <w:b/>
              <w:bCs/>
              <w:sz w:val="28"/>
              <w:szCs w:val="28"/>
              <w:highlight w:val="none"/>
            </w:rPr>
            <w:t>目录</w:t>
          </w:r>
          <w:r>
            <w:rPr>
              <w:rFonts w:hint="eastAsia" w:ascii="宋体" w:hAnsi="宋体" w:eastAsia="宋体" w:cs="宋体"/>
              <w:b/>
              <w:sz w:val="24"/>
              <w:szCs w:val="24"/>
              <w:highlight w:val="none"/>
            </w:rPr>
            <w:fldChar w:fldCharType="begin"/>
          </w:r>
          <w:r>
            <w:rPr>
              <w:rFonts w:hint="eastAsia" w:ascii="宋体" w:hAnsi="宋体" w:eastAsia="宋体" w:cs="宋体"/>
              <w:b/>
              <w:sz w:val="24"/>
              <w:szCs w:val="24"/>
              <w:highlight w:val="none"/>
            </w:rPr>
            <w:instrText xml:space="preserve">TOC \o "1-1" \h \u </w:instrText>
          </w:r>
          <w:r>
            <w:rPr>
              <w:rFonts w:hint="eastAsia" w:ascii="宋体" w:hAnsi="宋体" w:eastAsia="宋体" w:cs="宋体"/>
              <w:b/>
              <w:sz w:val="24"/>
              <w:szCs w:val="24"/>
              <w:highlight w:val="none"/>
            </w:rPr>
            <w:fldChar w:fldCharType="separate"/>
          </w:r>
        </w:p>
        <w:p w14:paraId="58D34D87">
          <w:pPr>
            <w:pStyle w:val="15"/>
            <w:tabs>
              <w:tab w:val="right" w:leader="dot" w:pos="8306"/>
            </w:tabs>
            <w:rPr>
              <w:highlight w:val="none"/>
            </w:rPr>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_Toc27353 </w:instrText>
          </w:r>
          <w:r>
            <w:rPr>
              <w:rFonts w:hint="eastAsia" w:ascii="宋体" w:hAnsi="宋体" w:eastAsia="宋体" w:cs="宋体"/>
              <w:szCs w:val="24"/>
              <w:highlight w:val="none"/>
            </w:rPr>
            <w:fldChar w:fldCharType="separate"/>
          </w:r>
          <w:r>
            <w:rPr>
              <w:highlight w:val="none"/>
            </w:rPr>
            <w:t>第一章 采购邀请书</w:t>
          </w:r>
          <w:r>
            <w:rPr>
              <w:highlight w:val="none"/>
            </w:rPr>
            <w:tab/>
          </w:r>
          <w:r>
            <w:rPr>
              <w:highlight w:val="none"/>
            </w:rPr>
            <w:fldChar w:fldCharType="begin"/>
          </w:r>
          <w:r>
            <w:rPr>
              <w:highlight w:val="none"/>
            </w:rPr>
            <w:instrText xml:space="preserve"> PAGEREF _Toc27353 \h </w:instrText>
          </w:r>
          <w:r>
            <w:rPr>
              <w:highlight w:val="none"/>
            </w:rPr>
            <w:fldChar w:fldCharType="separate"/>
          </w:r>
          <w:r>
            <w:rPr>
              <w:highlight w:val="none"/>
            </w:rPr>
            <w:t>2</w:t>
          </w:r>
          <w:r>
            <w:rPr>
              <w:highlight w:val="none"/>
            </w:rPr>
            <w:fldChar w:fldCharType="end"/>
          </w:r>
          <w:r>
            <w:rPr>
              <w:rFonts w:hint="eastAsia" w:ascii="宋体" w:hAnsi="宋体" w:eastAsia="宋体" w:cs="宋体"/>
              <w:szCs w:val="24"/>
              <w:highlight w:val="none"/>
            </w:rPr>
            <w:fldChar w:fldCharType="end"/>
          </w:r>
        </w:p>
        <w:p w14:paraId="5E6E33CA">
          <w:pPr>
            <w:pStyle w:val="15"/>
            <w:tabs>
              <w:tab w:val="right" w:leader="dot" w:pos="8306"/>
            </w:tabs>
            <w:rPr>
              <w:highlight w:val="none"/>
            </w:rPr>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_Toc11821 </w:instrText>
          </w:r>
          <w:r>
            <w:rPr>
              <w:rFonts w:hint="eastAsia" w:ascii="宋体" w:hAnsi="宋体" w:eastAsia="宋体" w:cs="宋体"/>
              <w:szCs w:val="24"/>
              <w:highlight w:val="none"/>
            </w:rPr>
            <w:fldChar w:fldCharType="separate"/>
          </w:r>
          <w:r>
            <w:rPr>
              <w:highlight w:val="none"/>
            </w:rPr>
            <w:t>第二章 竞争性磋商须知</w:t>
          </w:r>
          <w:r>
            <w:rPr>
              <w:highlight w:val="none"/>
            </w:rPr>
            <w:tab/>
          </w:r>
          <w:r>
            <w:rPr>
              <w:highlight w:val="none"/>
            </w:rPr>
            <w:fldChar w:fldCharType="begin"/>
          </w:r>
          <w:r>
            <w:rPr>
              <w:highlight w:val="none"/>
            </w:rPr>
            <w:instrText xml:space="preserve"> PAGEREF _Toc11821 \h </w:instrText>
          </w:r>
          <w:r>
            <w:rPr>
              <w:highlight w:val="none"/>
            </w:rPr>
            <w:fldChar w:fldCharType="separate"/>
          </w:r>
          <w:r>
            <w:rPr>
              <w:highlight w:val="none"/>
            </w:rPr>
            <w:t>6</w:t>
          </w:r>
          <w:r>
            <w:rPr>
              <w:highlight w:val="none"/>
            </w:rPr>
            <w:fldChar w:fldCharType="end"/>
          </w:r>
          <w:r>
            <w:rPr>
              <w:rFonts w:hint="eastAsia" w:ascii="宋体" w:hAnsi="宋体" w:eastAsia="宋体" w:cs="宋体"/>
              <w:szCs w:val="24"/>
              <w:highlight w:val="none"/>
            </w:rPr>
            <w:fldChar w:fldCharType="end"/>
          </w:r>
        </w:p>
        <w:p w14:paraId="1235B1B7">
          <w:pPr>
            <w:pStyle w:val="15"/>
            <w:tabs>
              <w:tab w:val="right" w:leader="dot" w:pos="8306"/>
            </w:tabs>
            <w:rPr>
              <w:highlight w:val="none"/>
            </w:rPr>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_Toc30941 </w:instrText>
          </w:r>
          <w:r>
            <w:rPr>
              <w:rFonts w:hint="eastAsia" w:ascii="宋体" w:hAnsi="宋体" w:eastAsia="宋体" w:cs="宋体"/>
              <w:szCs w:val="24"/>
              <w:highlight w:val="none"/>
            </w:rPr>
            <w:fldChar w:fldCharType="separate"/>
          </w:r>
          <w:r>
            <w:rPr>
              <w:highlight w:val="none"/>
            </w:rPr>
            <w:t>第三章 采购内容及要求</w:t>
          </w:r>
          <w:r>
            <w:rPr>
              <w:highlight w:val="none"/>
            </w:rPr>
            <w:tab/>
          </w:r>
          <w:r>
            <w:rPr>
              <w:highlight w:val="none"/>
            </w:rPr>
            <w:fldChar w:fldCharType="begin"/>
          </w:r>
          <w:r>
            <w:rPr>
              <w:highlight w:val="none"/>
            </w:rPr>
            <w:instrText xml:space="preserve"> PAGEREF _Toc30941 \h </w:instrText>
          </w:r>
          <w:r>
            <w:rPr>
              <w:highlight w:val="none"/>
            </w:rPr>
            <w:fldChar w:fldCharType="separate"/>
          </w:r>
          <w:r>
            <w:rPr>
              <w:highlight w:val="none"/>
            </w:rPr>
            <w:t>36</w:t>
          </w:r>
          <w:r>
            <w:rPr>
              <w:highlight w:val="none"/>
            </w:rPr>
            <w:fldChar w:fldCharType="end"/>
          </w:r>
          <w:r>
            <w:rPr>
              <w:rFonts w:hint="eastAsia" w:ascii="宋体" w:hAnsi="宋体" w:eastAsia="宋体" w:cs="宋体"/>
              <w:szCs w:val="24"/>
              <w:highlight w:val="none"/>
            </w:rPr>
            <w:fldChar w:fldCharType="end"/>
          </w:r>
        </w:p>
        <w:p w14:paraId="346EC728">
          <w:pPr>
            <w:pStyle w:val="15"/>
            <w:tabs>
              <w:tab w:val="right" w:leader="dot" w:pos="8306"/>
            </w:tabs>
            <w:rPr>
              <w:highlight w:val="none"/>
            </w:rPr>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_Toc758 </w:instrText>
          </w:r>
          <w:r>
            <w:rPr>
              <w:rFonts w:hint="eastAsia" w:ascii="宋体" w:hAnsi="宋体" w:eastAsia="宋体" w:cs="宋体"/>
              <w:szCs w:val="24"/>
              <w:highlight w:val="none"/>
            </w:rPr>
            <w:fldChar w:fldCharType="separate"/>
          </w:r>
          <w:r>
            <w:rPr>
              <w:highlight w:val="none"/>
            </w:rPr>
            <w:t>第四章 合同主要条款及格式</w:t>
          </w:r>
          <w:r>
            <w:rPr>
              <w:highlight w:val="none"/>
            </w:rPr>
            <w:tab/>
          </w:r>
          <w:r>
            <w:rPr>
              <w:highlight w:val="none"/>
            </w:rPr>
            <w:fldChar w:fldCharType="begin"/>
          </w:r>
          <w:r>
            <w:rPr>
              <w:highlight w:val="none"/>
            </w:rPr>
            <w:instrText xml:space="preserve"> PAGEREF _Toc758 \h </w:instrText>
          </w:r>
          <w:r>
            <w:rPr>
              <w:highlight w:val="none"/>
            </w:rPr>
            <w:fldChar w:fldCharType="separate"/>
          </w:r>
          <w:r>
            <w:rPr>
              <w:highlight w:val="none"/>
            </w:rPr>
            <w:t>67</w:t>
          </w:r>
          <w:r>
            <w:rPr>
              <w:highlight w:val="none"/>
            </w:rPr>
            <w:fldChar w:fldCharType="end"/>
          </w:r>
          <w:r>
            <w:rPr>
              <w:rFonts w:hint="eastAsia" w:ascii="宋体" w:hAnsi="宋体" w:eastAsia="宋体" w:cs="宋体"/>
              <w:szCs w:val="24"/>
              <w:highlight w:val="none"/>
            </w:rPr>
            <w:fldChar w:fldCharType="end"/>
          </w:r>
        </w:p>
        <w:p w14:paraId="0ADACCFB">
          <w:pPr>
            <w:pStyle w:val="15"/>
            <w:tabs>
              <w:tab w:val="right" w:leader="dot" w:pos="8306"/>
            </w:tabs>
            <w:rPr>
              <w:highlight w:val="none"/>
            </w:rPr>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_Toc28060 </w:instrText>
          </w:r>
          <w:r>
            <w:rPr>
              <w:rFonts w:hint="eastAsia" w:ascii="宋体" w:hAnsi="宋体" w:eastAsia="宋体" w:cs="宋体"/>
              <w:szCs w:val="24"/>
              <w:highlight w:val="none"/>
            </w:rPr>
            <w:fldChar w:fldCharType="separate"/>
          </w:r>
          <w:r>
            <w:rPr>
              <w:highlight w:val="none"/>
            </w:rPr>
            <w:t>第五章 首次响应文件格式</w:t>
          </w:r>
          <w:r>
            <w:rPr>
              <w:highlight w:val="none"/>
            </w:rPr>
            <w:tab/>
          </w:r>
          <w:r>
            <w:rPr>
              <w:highlight w:val="none"/>
            </w:rPr>
            <w:fldChar w:fldCharType="begin"/>
          </w:r>
          <w:r>
            <w:rPr>
              <w:highlight w:val="none"/>
            </w:rPr>
            <w:instrText xml:space="preserve"> PAGEREF _Toc28060 \h </w:instrText>
          </w:r>
          <w:r>
            <w:rPr>
              <w:highlight w:val="none"/>
            </w:rPr>
            <w:fldChar w:fldCharType="separate"/>
          </w:r>
          <w:r>
            <w:rPr>
              <w:highlight w:val="none"/>
            </w:rPr>
            <w:t>70</w:t>
          </w:r>
          <w:r>
            <w:rPr>
              <w:highlight w:val="none"/>
            </w:rPr>
            <w:fldChar w:fldCharType="end"/>
          </w:r>
          <w:r>
            <w:rPr>
              <w:rFonts w:hint="eastAsia" w:ascii="宋体" w:hAnsi="宋体" w:eastAsia="宋体" w:cs="宋体"/>
              <w:szCs w:val="24"/>
              <w:highlight w:val="none"/>
            </w:rPr>
            <w:fldChar w:fldCharType="end"/>
          </w:r>
        </w:p>
        <w:p w14:paraId="75548C5F">
          <w:pPr>
            <w:pStyle w:val="15"/>
            <w:tabs>
              <w:tab w:val="right" w:leader="dot" w:pos="8306"/>
            </w:tabs>
            <w:rPr>
              <w:highlight w:val="none"/>
            </w:rPr>
          </w:pPr>
          <w:r>
            <w:rPr>
              <w:rFonts w:hint="eastAsia" w:ascii="宋体" w:hAnsi="宋体" w:eastAsia="宋体" w:cs="宋体"/>
              <w:szCs w:val="24"/>
              <w:highlight w:val="none"/>
            </w:rPr>
            <w:fldChar w:fldCharType="begin"/>
          </w:r>
          <w:r>
            <w:rPr>
              <w:rFonts w:hint="eastAsia" w:ascii="宋体" w:hAnsi="宋体" w:eastAsia="宋体" w:cs="宋体"/>
              <w:szCs w:val="24"/>
              <w:highlight w:val="none"/>
            </w:rPr>
            <w:instrText xml:space="preserve"> HYPERLINK \l _Toc31886 </w:instrText>
          </w:r>
          <w:r>
            <w:rPr>
              <w:rFonts w:hint="eastAsia" w:ascii="宋体" w:hAnsi="宋体" w:eastAsia="宋体" w:cs="宋体"/>
              <w:szCs w:val="24"/>
              <w:highlight w:val="none"/>
            </w:rPr>
            <w:fldChar w:fldCharType="separate"/>
          </w:r>
          <w:r>
            <w:rPr>
              <w:rFonts w:hint="eastAsia"/>
              <w:highlight w:val="none"/>
              <w:lang w:eastAsia="zh-CN"/>
            </w:rPr>
            <w:t>第六章</w:t>
          </w:r>
          <w:r>
            <w:rPr>
              <w:rFonts w:hint="eastAsia"/>
              <w:highlight w:val="none"/>
              <w:lang w:val="en-US" w:eastAsia="zh-CN"/>
            </w:rPr>
            <w:t xml:space="preserve">  </w:t>
          </w:r>
          <w:r>
            <w:rPr>
              <w:rFonts w:hint="eastAsia"/>
              <w:highlight w:val="none"/>
              <w:lang w:eastAsia="zh-CN"/>
            </w:rPr>
            <w:t>最终</w:t>
          </w:r>
          <w:r>
            <w:rPr>
              <w:rFonts w:hint="eastAsia"/>
              <w:highlight w:val="none"/>
            </w:rPr>
            <w:t>报价</w:t>
          </w:r>
          <w:r>
            <w:rPr>
              <w:rFonts w:hint="eastAsia"/>
              <w:highlight w:val="none"/>
              <w:lang w:eastAsia="zh-CN"/>
            </w:rPr>
            <w:t>（参考格式）</w:t>
          </w:r>
          <w:r>
            <w:rPr>
              <w:highlight w:val="none"/>
            </w:rPr>
            <w:tab/>
          </w:r>
          <w:r>
            <w:rPr>
              <w:highlight w:val="none"/>
            </w:rPr>
            <w:fldChar w:fldCharType="begin"/>
          </w:r>
          <w:r>
            <w:rPr>
              <w:highlight w:val="none"/>
            </w:rPr>
            <w:instrText xml:space="preserve"> PAGEREF _Toc31886 \h </w:instrText>
          </w:r>
          <w:r>
            <w:rPr>
              <w:highlight w:val="none"/>
            </w:rPr>
            <w:fldChar w:fldCharType="separate"/>
          </w:r>
          <w:r>
            <w:rPr>
              <w:highlight w:val="none"/>
            </w:rPr>
            <w:t>103</w:t>
          </w:r>
          <w:r>
            <w:rPr>
              <w:highlight w:val="none"/>
            </w:rPr>
            <w:fldChar w:fldCharType="end"/>
          </w:r>
          <w:r>
            <w:rPr>
              <w:rFonts w:hint="eastAsia" w:ascii="宋体" w:hAnsi="宋体" w:eastAsia="宋体" w:cs="宋体"/>
              <w:szCs w:val="24"/>
              <w:highlight w:val="none"/>
            </w:rPr>
            <w:fldChar w:fldCharType="end"/>
          </w:r>
        </w:p>
        <w:p w14:paraId="0E900384">
          <w:pPr>
            <w:pStyle w:val="28"/>
            <w:pageBreakBefore w:val="0"/>
            <w:kinsoku/>
            <w:wordWrap/>
            <w:overflowPunct/>
            <w:topLinePunct w:val="0"/>
            <w:bidi w:val="0"/>
            <w:spacing w:before="0" w:beforeLines="0" w:after="0" w:afterLines="0" w:line="400" w:lineRule="exact"/>
            <w:ind w:left="0" w:leftChars="0" w:right="0" w:rightChars="0" w:firstLine="0" w:firstLineChars="0"/>
            <w:jc w:val="center"/>
            <w:textAlignment w:val="auto"/>
            <w:outlineLvl w:val="9"/>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fldChar w:fldCharType="end"/>
          </w:r>
        </w:p>
      </w:sdtContent>
    </w:sdt>
    <w:p w14:paraId="11B06D8E">
      <w:pPr>
        <w:pStyle w:val="28"/>
        <w:pageBreakBefore w:val="0"/>
        <w:kinsoku/>
        <w:wordWrap/>
        <w:overflowPunct/>
        <w:topLinePunct w:val="0"/>
        <w:bidi w:val="0"/>
        <w:spacing w:line="400" w:lineRule="exact"/>
        <w:jc w:val="center"/>
        <w:textAlignment w:val="auto"/>
        <w:outlineLvl w:val="9"/>
        <w:rPr>
          <w:rFonts w:hint="eastAsia" w:asciiTheme="minorHAnsi" w:hAnsiTheme="minorHAnsi" w:eastAsiaTheme="minorEastAsia" w:cstheme="minorBidi"/>
          <w:highlight w:val="none"/>
          <w:lang w:val="en-US" w:eastAsia="zh-Hans"/>
        </w:rPr>
      </w:pPr>
    </w:p>
    <w:p w14:paraId="630936BE">
      <w:pPr>
        <w:pStyle w:val="28"/>
        <w:pageBreakBefore w:val="0"/>
        <w:kinsoku/>
        <w:wordWrap/>
        <w:overflowPunct/>
        <w:topLinePunct w:val="0"/>
        <w:bidi w:val="0"/>
        <w:spacing w:line="400" w:lineRule="exact"/>
        <w:jc w:val="center"/>
        <w:textAlignment w:val="auto"/>
        <w:outlineLvl w:val="0"/>
        <w:rPr>
          <w:b/>
          <w:sz w:val="36"/>
          <w:highlight w:val="none"/>
        </w:rPr>
        <w:sectPr>
          <w:footerReference r:id="rId5" w:type="default"/>
          <w:pgSz w:w="11906" w:h="16838"/>
          <w:pgMar w:top="1440" w:right="1800" w:bottom="1440" w:left="1800" w:header="851" w:footer="992" w:gutter="0"/>
          <w:pgNumType w:fmt="decimal" w:start="1"/>
          <w:cols w:space="425" w:num="1"/>
          <w:docGrid w:type="lines" w:linePitch="312" w:charSpace="0"/>
        </w:sectPr>
      </w:pPr>
    </w:p>
    <w:p w14:paraId="0F94AC12">
      <w:pPr>
        <w:pStyle w:val="28"/>
        <w:pageBreakBefore w:val="0"/>
        <w:kinsoku/>
        <w:wordWrap/>
        <w:overflowPunct/>
        <w:topLinePunct w:val="0"/>
        <w:bidi w:val="0"/>
        <w:spacing w:line="400" w:lineRule="exact"/>
        <w:jc w:val="center"/>
        <w:textAlignment w:val="auto"/>
        <w:outlineLvl w:val="0"/>
        <w:rPr>
          <w:highlight w:val="none"/>
        </w:rPr>
      </w:pPr>
      <w:bookmarkStart w:id="12" w:name="_Toc27353"/>
      <w:r>
        <w:rPr>
          <w:b/>
          <w:sz w:val="36"/>
          <w:highlight w:val="none"/>
        </w:rPr>
        <w:t>第一章 采购邀请书</w:t>
      </w:r>
      <w:bookmarkEnd w:id="12"/>
    </w:p>
    <w:p w14:paraId="2BE506D8">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24"/>
          <w:szCs w:val="24"/>
          <w:highlight w:val="none"/>
        </w:rPr>
      </w:pPr>
    </w:p>
    <w:p w14:paraId="6034484D">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竞争性磋商采购公告</w:t>
      </w:r>
    </w:p>
    <w:p w14:paraId="062E3D4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lang w:eastAsia="zh-CN"/>
        </w:rPr>
      </w:pPr>
    </w:p>
    <w:p w14:paraId="25833BA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福建省儿童医院</w:t>
      </w:r>
      <w:r>
        <w:rPr>
          <w:rFonts w:hint="eastAsia" w:ascii="宋体" w:hAnsi="宋体" w:eastAsia="宋体" w:cs="宋体"/>
          <w:sz w:val="24"/>
          <w:szCs w:val="24"/>
          <w:highlight w:val="none"/>
        </w:rPr>
        <w:t xml:space="preserve">已根据政府采购相关法律法规，经相应程序确定采用 竞争性磋商 方式组织 </w:t>
      </w:r>
      <w:r>
        <w:rPr>
          <w:rFonts w:hint="eastAsia" w:ascii="宋体" w:hAnsi="宋体" w:eastAsia="宋体" w:cs="宋体"/>
          <w:sz w:val="24"/>
          <w:szCs w:val="24"/>
          <w:highlight w:val="none"/>
          <w:lang w:eastAsia="zh-CN"/>
        </w:rPr>
        <w:t>上海儿童医学中心福建医院——国家区域医疗中心建设项目（二期）方案及初步设计</w:t>
      </w:r>
      <w:r>
        <w:rPr>
          <w:rFonts w:hint="eastAsia" w:ascii="宋体" w:hAnsi="宋体" w:eastAsia="宋体" w:cs="宋体"/>
          <w:sz w:val="24"/>
          <w:szCs w:val="24"/>
          <w:highlight w:val="none"/>
        </w:rPr>
        <w:t xml:space="preserve"> 项目（以下简称：“本项目”）的政府采购活动， 现欢迎国内合格的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前来参加。</w:t>
      </w:r>
    </w:p>
    <w:p w14:paraId="781B036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1、项目名称：上海儿童医学中心福建医院——国家区域医疗中心建设项目（二期）方案及初步设计</w:t>
      </w:r>
    </w:p>
    <w:p w14:paraId="610D4CC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2、项目编号：ETHQZB202</w:t>
      </w:r>
      <w:r>
        <w:rPr>
          <w:rFonts w:hint="eastAsia" w:ascii="宋体" w:hAnsi="宋体" w:eastAsia="宋体" w:cs="宋体"/>
          <w:b/>
          <w:bCs/>
          <w:sz w:val="24"/>
          <w:szCs w:val="24"/>
          <w:highlight w:val="none"/>
          <w:lang w:val="en-US" w:eastAsia="zh-CN"/>
        </w:rPr>
        <w:t>5</w:t>
      </w:r>
      <w:r>
        <w:rPr>
          <w:rFonts w:hint="eastAsia" w:ascii="宋体" w:hAnsi="宋体" w:eastAsia="宋体" w:cs="宋体"/>
          <w:b/>
          <w:bCs/>
          <w:sz w:val="24"/>
          <w:szCs w:val="24"/>
          <w:highlight w:val="none"/>
        </w:rPr>
        <w:t>0</w:t>
      </w:r>
      <w:r>
        <w:rPr>
          <w:rFonts w:hint="eastAsia" w:ascii="宋体" w:hAnsi="宋体" w:eastAsia="宋体" w:cs="宋体"/>
          <w:b/>
          <w:bCs/>
          <w:sz w:val="24"/>
          <w:szCs w:val="24"/>
          <w:highlight w:val="none"/>
          <w:lang w:val="en-US" w:eastAsia="zh-CN"/>
        </w:rPr>
        <w:t>1</w:t>
      </w:r>
    </w:p>
    <w:p w14:paraId="71C42A1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3、采购内容及要求：</w:t>
      </w:r>
    </w:p>
    <w:p w14:paraId="710E449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采购包1：</w:t>
      </w:r>
    </w:p>
    <w:p w14:paraId="24578E24">
      <w:pPr>
        <w:pStyle w:val="28"/>
        <w:keepNext w:val="0"/>
        <w:keepLines w:val="0"/>
        <w:pageBreakBefore w:val="0"/>
        <w:widowControl/>
        <w:kinsoku/>
        <w:wordWrap/>
        <w:overflowPunct/>
        <w:topLinePunct w:val="0"/>
        <w:autoSpaceDE/>
        <w:autoSpaceDN/>
        <w:bidi w:val="0"/>
        <w:adjustRightInd/>
        <w:snapToGrid/>
        <w:spacing w:line="400" w:lineRule="exact"/>
        <w:ind w:left="0" w:leftChars="0"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3.1</w:t>
      </w:r>
      <w:r>
        <w:rPr>
          <w:rFonts w:hint="eastAsia" w:ascii="宋体" w:hAnsi="宋体" w:eastAsia="宋体" w:cs="宋体"/>
          <w:sz w:val="24"/>
          <w:szCs w:val="24"/>
          <w:highlight w:val="none"/>
        </w:rPr>
        <w:t>项目名称：</w:t>
      </w:r>
      <w:r>
        <w:rPr>
          <w:rFonts w:hint="eastAsia" w:ascii="宋体" w:hAnsi="宋体" w:eastAsia="宋体" w:cs="宋体"/>
          <w:sz w:val="24"/>
          <w:szCs w:val="24"/>
          <w:highlight w:val="none"/>
          <w:u w:val="single"/>
        </w:rPr>
        <w:t>上海儿童医学中心福建医院——国家区域医疗中心建设项目（二期）方案及初步设计；</w:t>
      </w:r>
    </w:p>
    <w:p w14:paraId="72967A8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3.2</w:t>
      </w:r>
      <w:r>
        <w:rPr>
          <w:rFonts w:hint="eastAsia" w:ascii="宋体" w:hAnsi="宋体" w:eastAsia="宋体" w:cs="宋体"/>
          <w:sz w:val="24"/>
          <w:szCs w:val="24"/>
          <w:highlight w:val="none"/>
        </w:rPr>
        <w:t>建设地点：</w:t>
      </w:r>
      <w:r>
        <w:rPr>
          <w:rFonts w:hint="eastAsia" w:ascii="宋体" w:hAnsi="宋体" w:eastAsia="宋体" w:cs="宋体"/>
          <w:sz w:val="24"/>
          <w:szCs w:val="24"/>
          <w:highlight w:val="none"/>
          <w:u w:val="single"/>
        </w:rPr>
        <w:t>福建省福州市晋安区鼓山镇横屿路966号福建省儿童医院 ；</w:t>
      </w:r>
    </w:p>
    <w:p w14:paraId="34BA9BD7">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3.3</w:t>
      </w:r>
      <w:r>
        <w:rPr>
          <w:rFonts w:hint="eastAsia" w:ascii="宋体" w:hAnsi="宋体" w:eastAsia="宋体" w:cs="宋体"/>
          <w:sz w:val="24"/>
          <w:szCs w:val="24"/>
          <w:highlight w:val="none"/>
        </w:rPr>
        <w:t>工程建设规模：</w:t>
      </w:r>
      <w:r>
        <w:rPr>
          <w:rFonts w:hint="eastAsia" w:ascii="宋体" w:hAnsi="宋体" w:eastAsia="宋体" w:cs="宋体"/>
          <w:sz w:val="24"/>
          <w:szCs w:val="24"/>
          <w:highlight w:val="none"/>
          <w:u w:val="single"/>
        </w:rPr>
        <w:t>本项目建筑改造面积约980㎡，其中GMP实验室900㎡，中心实验平台80㎡ 。</w:t>
      </w:r>
    </w:p>
    <w:p w14:paraId="6974311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3.4</w:t>
      </w:r>
      <w:r>
        <w:rPr>
          <w:rFonts w:hint="eastAsia" w:ascii="宋体" w:hAnsi="宋体" w:eastAsia="宋体" w:cs="宋体"/>
          <w:sz w:val="24"/>
          <w:szCs w:val="24"/>
          <w:highlight w:val="none"/>
        </w:rPr>
        <w:t>投资总额：估算总投资10000万元，其中:基建部分投资856.555万元，医疗设备投资6941.645万元，信息化2201.8万元。</w:t>
      </w:r>
    </w:p>
    <w:p w14:paraId="6B404D62">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3.5</w:t>
      </w:r>
      <w:r>
        <w:rPr>
          <w:rFonts w:hint="eastAsia" w:ascii="宋体" w:hAnsi="宋体" w:eastAsia="宋体" w:cs="宋体"/>
          <w:sz w:val="24"/>
          <w:szCs w:val="24"/>
          <w:highlight w:val="none"/>
        </w:rPr>
        <w:t>招标类型：</w:t>
      </w:r>
      <w:r>
        <w:rPr>
          <w:rFonts w:hint="eastAsia" w:ascii="宋体" w:hAnsi="宋体" w:eastAsia="宋体" w:cs="宋体"/>
          <w:sz w:val="24"/>
          <w:szCs w:val="24"/>
          <w:highlight w:val="none"/>
          <w:lang w:val="en-US" w:eastAsia="zh-CN"/>
        </w:rPr>
        <w:t>方案及初步设计</w:t>
      </w:r>
      <w:r>
        <w:rPr>
          <w:rFonts w:hint="eastAsia" w:ascii="宋体" w:hAnsi="宋体" w:eastAsia="宋体" w:cs="宋体"/>
          <w:sz w:val="24"/>
          <w:szCs w:val="24"/>
          <w:highlight w:val="none"/>
        </w:rPr>
        <w:t>招标；</w:t>
      </w:r>
    </w:p>
    <w:p w14:paraId="53486266">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3.6</w:t>
      </w:r>
      <w:r>
        <w:rPr>
          <w:rFonts w:hint="eastAsia" w:ascii="宋体" w:hAnsi="宋体" w:eastAsia="宋体" w:cs="宋体"/>
          <w:sz w:val="24"/>
          <w:szCs w:val="24"/>
          <w:highlight w:val="none"/>
        </w:rPr>
        <w:t>招标范围和内容</w:t>
      </w:r>
    </w:p>
    <w:p w14:paraId="5B6BA7D0">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3.6.1</w:t>
      </w:r>
      <w:r>
        <w:rPr>
          <w:rFonts w:hint="eastAsia" w:ascii="宋体" w:hAnsi="宋体" w:eastAsia="宋体" w:cs="宋体"/>
          <w:sz w:val="24"/>
          <w:szCs w:val="24"/>
          <w:highlight w:val="none"/>
        </w:rPr>
        <w:t>招标范围：</w:t>
      </w:r>
      <w:r>
        <w:rPr>
          <w:rFonts w:hint="eastAsia" w:ascii="宋体" w:hAnsi="宋体" w:eastAsia="宋体" w:cs="宋体"/>
          <w:sz w:val="24"/>
          <w:szCs w:val="24"/>
          <w:highlight w:val="none"/>
          <w:u w:val="single"/>
        </w:rPr>
        <w:t>包括基建提升专项工程方案设计、初步设计、编制初步设计概算、后续设计配合服务（本次招标不含施工图设计）、医疗设备专项工程、信息化专项工程。</w:t>
      </w:r>
    </w:p>
    <w:p w14:paraId="528F5CA4">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lang w:val="en-US" w:eastAsia="zh-CN"/>
        </w:rPr>
        <w:t>3.6.2</w:t>
      </w:r>
      <w:r>
        <w:rPr>
          <w:rFonts w:hint="eastAsia" w:ascii="宋体" w:hAnsi="宋体" w:eastAsia="宋体" w:cs="宋体"/>
          <w:sz w:val="24"/>
          <w:szCs w:val="24"/>
          <w:highlight w:val="none"/>
        </w:rPr>
        <w:t>招标内容：</w:t>
      </w:r>
      <w:r>
        <w:rPr>
          <w:rFonts w:hint="eastAsia" w:ascii="宋体" w:hAnsi="宋体" w:eastAsia="宋体" w:cs="宋体"/>
          <w:sz w:val="24"/>
          <w:szCs w:val="24"/>
          <w:highlight w:val="none"/>
          <w:u w:val="single"/>
        </w:rPr>
        <w:t>包括为完成基建提升专项工程设计的建筑方案、初步设计及概算编制等；其中初步设计包括但不限于建筑、结构、给排水、电气、暖通、消防、智能化、医疗气体等</w:t>
      </w:r>
      <w:r>
        <w:rPr>
          <w:rFonts w:hint="eastAsia" w:ascii="宋体" w:hAnsi="宋体" w:eastAsia="宋体" w:cs="宋体"/>
          <w:sz w:val="24"/>
          <w:szCs w:val="24"/>
          <w:highlight w:val="none"/>
          <w:u w:val="single"/>
          <w:lang w:val="en-US" w:eastAsia="zh-CN"/>
        </w:rPr>
        <w:t>及</w:t>
      </w:r>
      <w:r>
        <w:rPr>
          <w:rFonts w:hint="eastAsia" w:ascii="宋体" w:hAnsi="宋体" w:eastAsia="宋体" w:cs="宋体"/>
          <w:sz w:val="24"/>
          <w:szCs w:val="24"/>
          <w:highlight w:val="none"/>
          <w:u w:val="single"/>
        </w:rPr>
        <w:t>医疗设备专项</w:t>
      </w:r>
      <w:r>
        <w:rPr>
          <w:rFonts w:hint="eastAsia" w:ascii="宋体" w:hAnsi="宋体" w:eastAsia="宋体" w:cs="宋体"/>
          <w:sz w:val="24"/>
          <w:szCs w:val="24"/>
          <w:highlight w:val="none"/>
          <w:u w:val="single"/>
          <w:lang w:val="en-US" w:eastAsia="zh-CN"/>
        </w:rPr>
        <w:t>初步设计方案编制</w:t>
      </w:r>
      <w:r>
        <w:rPr>
          <w:rFonts w:hint="eastAsia" w:ascii="宋体" w:hAnsi="宋体" w:eastAsia="宋体" w:cs="宋体"/>
          <w:sz w:val="24"/>
          <w:szCs w:val="24"/>
          <w:highlight w:val="none"/>
          <w:u w:val="single"/>
        </w:rPr>
        <w:t>、信息化专项</w:t>
      </w:r>
      <w:r>
        <w:rPr>
          <w:rFonts w:hint="eastAsia" w:ascii="宋体" w:hAnsi="宋体" w:eastAsia="宋体" w:cs="宋体"/>
          <w:sz w:val="24"/>
          <w:szCs w:val="24"/>
          <w:highlight w:val="none"/>
          <w:u w:val="single"/>
          <w:lang w:val="en-US" w:eastAsia="zh-CN"/>
        </w:rPr>
        <w:t>初步设计方案编制</w:t>
      </w:r>
      <w:r>
        <w:rPr>
          <w:rFonts w:hint="eastAsia" w:ascii="宋体" w:hAnsi="宋体" w:eastAsia="宋体" w:cs="宋体"/>
          <w:sz w:val="24"/>
          <w:szCs w:val="24"/>
          <w:highlight w:val="none"/>
          <w:u w:val="single"/>
        </w:rPr>
        <w:t>。</w:t>
      </w:r>
    </w:p>
    <w:p w14:paraId="5B2AD62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3.7</w:t>
      </w:r>
      <w:r>
        <w:rPr>
          <w:rFonts w:hint="eastAsia" w:ascii="宋体" w:hAnsi="宋体" w:eastAsia="宋体" w:cs="宋体"/>
          <w:sz w:val="24"/>
          <w:szCs w:val="24"/>
          <w:highlight w:val="none"/>
        </w:rPr>
        <w:t xml:space="preserve">建设地点：福建省福州市晋安区鼓山镇横屿路966号福建省儿童医院 </w:t>
      </w:r>
    </w:p>
    <w:p w14:paraId="28BA71B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3.8</w:t>
      </w:r>
      <w:r>
        <w:rPr>
          <w:rFonts w:hint="eastAsia" w:ascii="宋体" w:hAnsi="宋体" w:eastAsia="宋体" w:cs="宋体"/>
          <w:sz w:val="24"/>
          <w:szCs w:val="24"/>
          <w:highlight w:val="none"/>
        </w:rPr>
        <w:t>建设内容：</w:t>
      </w:r>
    </w:p>
    <w:p w14:paraId="7E3D3934">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3.9</w:t>
      </w:r>
      <w:r>
        <w:rPr>
          <w:rFonts w:hint="eastAsia" w:ascii="宋体" w:hAnsi="宋体" w:eastAsia="宋体" w:cs="宋体"/>
          <w:sz w:val="24"/>
          <w:szCs w:val="24"/>
          <w:highlight w:val="none"/>
        </w:rPr>
        <w:t>技术要求</w:t>
      </w:r>
    </w:p>
    <w:p w14:paraId="489960B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编制初步设计方案应遵循国家相关政策法规，按有关标准、规范进行编制。</w:t>
      </w:r>
    </w:p>
    <w:p w14:paraId="40A7F1D7">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应对本项目建设的相关现状进行充分调研，并针对项目现状与问题进行需求分析工作。</w:t>
      </w:r>
    </w:p>
    <w:p w14:paraId="026D80C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应在完成现状调研、需求分析的基础上，完成项目的初步设计方案编制。</w:t>
      </w:r>
    </w:p>
    <w:p w14:paraId="23D48B4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在初步设计方案的编制中，应遵循“资源共享、互联互通”原则，尽可能利用医院已有资源，避免重复建设，节约投资。</w:t>
      </w:r>
    </w:p>
    <w:p w14:paraId="448E0B1A">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应在本项目可行性研究报告和初步设计方案的基础上，完成整体项目建设概算编制工作。</w:t>
      </w:r>
    </w:p>
    <w:p w14:paraId="662E4DFE">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编写的项目初步设计方案，应能通过主管部门组织的专家评审。</w:t>
      </w:r>
    </w:p>
    <w:p w14:paraId="59D13DA6">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按照项目建设目标和采购人应用需求，遵循国家项目建设和设计的标准和规范，采用先进、科学、合理的适合本项目特点的项目管理技巧和设计手段，对项目的进行科学、规范的监督、管理、控制和协调。对项目的前端点位设计、应用软件开发、设备和系统购置、安装调试、验收和后期运维等方面的工作进行全面设计。</w:t>
      </w:r>
    </w:p>
    <w:p w14:paraId="15512E3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8</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初步设计方案是进行项目建设及验收的重要依据。编制初步设计方案时，应认真进行调查和研究，取得可靠的基本资料。设计应安全可靠，技术先进，密切结合实际，节约投资，注重经济效益。初步设计方案应有分析、论证、明确的结论和意见，文字简明扼要，图表完整清晰。</w:t>
      </w:r>
    </w:p>
    <w:p w14:paraId="4F0718E3">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9</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的项目团队必须遵守国家的政策、法律法规，并严格执行采购人的各项规章制度，服从采购人的管理，认真履行工作职责。</w:t>
      </w:r>
    </w:p>
    <w:p w14:paraId="01428A2D">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10</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针对本项目，</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需自行准备和提供过程中必要的办公设备和办公车辆。</w:t>
      </w:r>
    </w:p>
    <w:p w14:paraId="665D017D">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配合采购人完成项目相关评审、报批等工作。</w:t>
      </w:r>
    </w:p>
    <w:p w14:paraId="696AD47D">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3.10</w:t>
      </w:r>
      <w:r>
        <w:rPr>
          <w:rFonts w:hint="eastAsia" w:ascii="宋体" w:hAnsi="宋体" w:eastAsia="宋体" w:cs="宋体"/>
          <w:sz w:val="24"/>
          <w:szCs w:val="24"/>
          <w:highlight w:val="none"/>
        </w:rPr>
        <w:t>采购包预算金额（元）</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282900</w:t>
      </w:r>
    </w:p>
    <w:p w14:paraId="66F48788">
      <w:pPr>
        <w:pStyle w:val="28"/>
        <w:keepNext w:val="0"/>
        <w:keepLines w:val="0"/>
        <w:pageBreakBefore w:val="0"/>
        <w:widowControl/>
        <w:kinsoku/>
        <w:wordWrap/>
        <w:overflowPunct/>
        <w:topLinePunct w:val="0"/>
        <w:autoSpaceDE/>
        <w:autoSpaceDN/>
        <w:bidi w:val="0"/>
        <w:adjustRightInd/>
        <w:snapToGrid/>
        <w:spacing w:line="400" w:lineRule="exact"/>
        <w:ind w:firstLine="240" w:firstLineChars="1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采购包最高限价（元）</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282900</w:t>
      </w:r>
    </w:p>
    <w:tbl>
      <w:tblPr>
        <w:tblStyle w:val="1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541"/>
        <w:gridCol w:w="2848"/>
        <w:gridCol w:w="811"/>
        <w:gridCol w:w="1186"/>
        <w:gridCol w:w="750"/>
        <w:gridCol w:w="1185"/>
        <w:gridCol w:w="1201"/>
      </w:tblGrid>
      <w:tr w14:paraId="52D831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1" w:type="dxa"/>
            <w:vAlign w:val="center"/>
          </w:tcPr>
          <w:p w14:paraId="7E521B7B">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2848" w:type="dxa"/>
            <w:vAlign w:val="center"/>
          </w:tcPr>
          <w:p w14:paraId="0699106A">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标的名称</w:t>
            </w:r>
          </w:p>
        </w:tc>
        <w:tc>
          <w:tcPr>
            <w:tcW w:w="811" w:type="dxa"/>
            <w:vAlign w:val="center"/>
          </w:tcPr>
          <w:p w14:paraId="44DA13D9">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1186" w:type="dxa"/>
            <w:vAlign w:val="center"/>
          </w:tcPr>
          <w:p w14:paraId="31D6D080">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标的金额</w:t>
            </w:r>
          </w:p>
          <w:p w14:paraId="2D16530E">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（元）</w:t>
            </w:r>
          </w:p>
        </w:tc>
        <w:tc>
          <w:tcPr>
            <w:tcW w:w="750" w:type="dxa"/>
            <w:vAlign w:val="center"/>
          </w:tcPr>
          <w:p w14:paraId="4ADA22E9">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计量</w:t>
            </w:r>
          </w:p>
          <w:p w14:paraId="042B721A">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w:t>
            </w:r>
          </w:p>
        </w:tc>
        <w:tc>
          <w:tcPr>
            <w:tcW w:w="1185" w:type="dxa"/>
            <w:vAlign w:val="center"/>
          </w:tcPr>
          <w:p w14:paraId="6348AFD6">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所属行业</w:t>
            </w:r>
          </w:p>
        </w:tc>
        <w:tc>
          <w:tcPr>
            <w:tcW w:w="1201" w:type="dxa"/>
            <w:vAlign w:val="center"/>
          </w:tcPr>
          <w:p w14:paraId="59810C7F">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是否允许进口产品</w:t>
            </w:r>
          </w:p>
        </w:tc>
      </w:tr>
      <w:tr w14:paraId="2A06E4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41" w:type="dxa"/>
            <w:vAlign w:val="center"/>
          </w:tcPr>
          <w:p w14:paraId="143FC020">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848" w:type="dxa"/>
            <w:vAlign w:val="center"/>
          </w:tcPr>
          <w:p w14:paraId="3F85D163">
            <w:pPr>
              <w:pStyle w:val="28"/>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上海儿童医学中心福建医院——国家区域医疗中心建设项目（二期）方案及初步设计</w:t>
            </w:r>
          </w:p>
        </w:tc>
        <w:tc>
          <w:tcPr>
            <w:tcW w:w="811" w:type="dxa"/>
            <w:vAlign w:val="center"/>
          </w:tcPr>
          <w:p w14:paraId="39989D2D">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1.00</w:t>
            </w:r>
          </w:p>
        </w:tc>
        <w:tc>
          <w:tcPr>
            <w:tcW w:w="1186" w:type="dxa"/>
            <w:vAlign w:val="center"/>
          </w:tcPr>
          <w:p w14:paraId="707C900B">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rPr>
            </w:pPr>
            <w:r>
              <w:rPr>
                <w:rFonts w:hint="eastAsia" w:ascii="宋体" w:hAnsi="宋体" w:eastAsia="宋体" w:cs="宋体"/>
                <w:sz w:val="24"/>
                <w:szCs w:val="24"/>
                <w:highlight w:val="none"/>
                <w:lang w:val="en-US" w:eastAsia="zh-CN"/>
              </w:rPr>
              <w:t>282900</w:t>
            </w:r>
          </w:p>
        </w:tc>
        <w:tc>
          <w:tcPr>
            <w:tcW w:w="750" w:type="dxa"/>
            <w:vAlign w:val="center"/>
          </w:tcPr>
          <w:p w14:paraId="229411ED">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w:t>
            </w:r>
          </w:p>
        </w:tc>
        <w:tc>
          <w:tcPr>
            <w:tcW w:w="1185" w:type="dxa"/>
            <w:vAlign w:val="center"/>
          </w:tcPr>
          <w:p w14:paraId="1B26CA4B">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建筑业</w:t>
            </w:r>
          </w:p>
        </w:tc>
        <w:tc>
          <w:tcPr>
            <w:tcW w:w="1201" w:type="dxa"/>
            <w:vAlign w:val="center"/>
          </w:tcPr>
          <w:p w14:paraId="7BDC2733">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否</w:t>
            </w:r>
          </w:p>
        </w:tc>
      </w:tr>
    </w:tbl>
    <w:p w14:paraId="53AA0E6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4</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采购项目需要落实的政府采购政策：</w:t>
      </w:r>
    </w:p>
    <w:p w14:paraId="7FF70A0E">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4.1</w:t>
      </w:r>
      <w:r>
        <w:rPr>
          <w:rFonts w:hint="eastAsia" w:ascii="宋体" w:hAnsi="宋体" w:eastAsia="宋体" w:cs="宋体"/>
          <w:sz w:val="24"/>
          <w:szCs w:val="24"/>
          <w:highlight w:val="none"/>
        </w:rPr>
        <w:t>进口产品：</w:t>
      </w:r>
      <w:r>
        <w:rPr>
          <w:rFonts w:hint="eastAsia" w:ascii="宋体" w:hAnsi="宋体" w:eastAsia="宋体" w:cs="宋体"/>
          <w:color w:val="auto"/>
          <w:sz w:val="24"/>
          <w:szCs w:val="24"/>
          <w:highlight w:val="none"/>
        </w:rPr>
        <w:t>不适用于本项目。</w:t>
      </w:r>
    </w:p>
    <w:p w14:paraId="5A351A44">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4.2</w:t>
      </w:r>
      <w:r>
        <w:rPr>
          <w:rFonts w:hint="eastAsia" w:ascii="宋体" w:hAnsi="宋体" w:eastAsia="宋体" w:cs="宋体"/>
          <w:sz w:val="24"/>
          <w:szCs w:val="24"/>
          <w:highlight w:val="none"/>
        </w:rPr>
        <w:t>节能产品：</w:t>
      </w:r>
      <w:r>
        <w:rPr>
          <w:rFonts w:hint="eastAsia" w:ascii="宋体" w:hAnsi="宋体" w:eastAsia="宋体" w:cs="宋体"/>
          <w:color w:val="auto"/>
          <w:sz w:val="24"/>
          <w:szCs w:val="24"/>
          <w:highlight w:val="none"/>
        </w:rPr>
        <w:t>不适用于本项目。</w:t>
      </w:r>
    </w:p>
    <w:p w14:paraId="2BD7D79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4.3</w:t>
      </w:r>
      <w:r>
        <w:rPr>
          <w:rFonts w:hint="eastAsia" w:ascii="宋体" w:hAnsi="宋体" w:eastAsia="宋体" w:cs="宋体"/>
          <w:sz w:val="24"/>
          <w:szCs w:val="24"/>
          <w:highlight w:val="none"/>
        </w:rPr>
        <w:t>环境标志产品：</w:t>
      </w:r>
      <w:r>
        <w:rPr>
          <w:rFonts w:hint="eastAsia" w:ascii="宋体" w:hAnsi="宋体" w:eastAsia="宋体" w:cs="宋体"/>
          <w:color w:val="auto"/>
          <w:sz w:val="24"/>
          <w:szCs w:val="24"/>
          <w:highlight w:val="none"/>
        </w:rPr>
        <w:t>不适用于本项目。</w:t>
      </w:r>
    </w:p>
    <w:p w14:paraId="4C81D53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4.4</w:t>
      </w:r>
      <w:r>
        <w:rPr>
          <w:rFonts w:hint="eastAsia" w:ascii="宋体" w:hAnsi="宋体" w:eastAsia="宋体" w:cs="宋体"/>
          <w:sz w:val="24"/>
          <w:szCs w:val="24"/>
          <w:highlight w:val="none"/>
        </w:rPr>
        <w:t>绿色建材：</w:t>
      </w:r>
      <w:r>
        <w:rPr>
          <w:rFonts w:hint="eastAsia" w:ascii="宋体" w:hAnsi="宋体" w:eastAsia="宋体" w:cs="宋体"/>
          <w:color w:val="auto"/>
          <w:sz w:val="24"/>
          <w:szCs w:val="24"/>
          <w:highlight w:val="none"/>
        </w:rPr>
        <w:t>不适用于本项目。</w:t>
      </w:r>
    </w:p>
    <w:p w14:paraId="74CBD57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4.5</w:t>
      </w:r>
      <w:r>
        <w:rPr>
          <w:rFonts w:hint="eastAsia" w:ascii="宋体" w:hAnsi="宋体" w:eastAsia="宋体" w:cs="宋体"/>
          <w:sz w:val="24"/>
          <w:szCs w:val="24"/>
          <w:highlight w:val="none"/>
        </w:rPr>
        <w:t>促进中小企业发展的相关政策：</w:t>
      </w:r>
      <w:r>
        <w:rPr>
          <w:rFonts w:hint="eastAsia" w:ascii="宋体" w:hAnsi="宋体" w:eastAsia="宋体" w:cs="宋体"/>
          <w:color w:val="auto"/>
          <w:sz w:val="24"/>
          <w:szCs w:val="24"/>
          <w:highlight w:val="none"/>
        </w:rPr>
        <w:t>不适用于本项目。</w:t>
      </w:r>
    </w:p>
    <w:p w14:paraId="731E760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5</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的资格要求：</w:t>
      </w:r>
    </w:p>
    <w:p w14:paraId="54D8BFFA">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.1法定条件：符合《中华人民共和国政府采购法》第二十二条第一款规定的条件。</w:t>
      </w:r>
    </w:p>
    <w:p w14:paraId="3D0408E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.2特定条件：</w:t>
      </w:r>
    </w:p>
    <w:p w14:paraId="3250364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采购包1：</w:t>
      </w:r>
    </w:p>
    <w:tbl>
      <w:tblPr>
        <w:tblStyle w:val="18"/>
        <w:tblW w:w="915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6"/>
        <w:gridCol w:w="7815"/>
      </w:tblGrid>
      <w:tr w14:paraId="307319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6" w:type="dxa"/>
            <w:vAlign w:val="center"/>
          </w:tcPr>
          <w:p w14:paraId="450EE232">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资格审查</w:t>
            </w:r>
          </w:p>
          <w:p w14:paraId="24F5568A">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要求概况</w:t>
            </w:r>
          </w:p>
        </w:tc>
        <w:tc>
          <w:tcPr>
            <w:tcW w:w="7815" w:type="dxa"/>
            <w:vAlign w:val="center"/>
          </w:tcPr>
          <w:p w14:paraId="2207479C">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评审点具体描述</w:t>
            </w:r>
          </w:p>
        </w:tc>
      </w:tr>
      <w:tr w14:paraId="2D6DD5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6" w:type="dxa"/>
            <w:vAlign w:val="center"/>
          </w:tcPr>
          <w:p w14:paraId="0622CC6F">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资格承诺函</w:t>
            </w:r>
          </w:p>
        </w:tc>
        <w:tc>
          <w:tcPr>
            <w:tcW w:w="7815" w:type="dxa"/>
          </w:tcPr>
          <w:p w14:paraId="568CD7E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采用资格承诺制的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，须根据投标(响应)格式文件要求提供资格承诺函，否则，视为未按照采购文件规定提交</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的资格及资信文件，按资格审查不合格处理。</w:t>
            </w:r>
          </w:p>
        </w:tc>
      </w:tr>
      <w:tr w14:paraId="283B5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6" w:type="dxa"/>
            <w:vAlign w:val="center"/>
          </w:tcPr>
          <w:p w14:paraId="3C0E4729">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其他资格要求1</w:t>
            </w:r>
          </w:p>
        </w:tc>
        <w:tc>
          <w:tcPr>
            <w:tcW w:w="7815" w:type="dxa"/>
          </w:tcPr>
          <w:p w14:paraId="30D3B0A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投标人须具备以下资质：</w:t>
            </w:r>
          </w:p>
          <w:p w14:paraId="0AA69E7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具备有效的建设行政主管部门核发的工程设计综合甲级资质或工程设计建筑行业设计乙级及以上资质或工程设计建筑行业（建筑工程）乙级及以上资质</w:t>
            </w:r>
            <w:r>
              <w:rPr>
                <w:rFonts w:hint="eastAsia" w:ascii="宋体" w:hAnsi="宋体" w:eastAsia="宋体" w:cs="宋体"/>
                <w:sz w:val="24"/>
                <w:szCs w:val="24"/>
                <w:highlight w:val="none"/>
                <w:lang w:eastAsia="zh-CN"/>
              </w:rPr>
              <w:t>；</w:t>
            </w:r>
          </w:p>
          <w:p w14:paraId="41153A5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通过全国投资项目在线审批监管平台备案的工程咨询单位【电子、信息工程(含通信、广电、信息化)专业】</w:t>
            </w:r>
          </w:p>
        </w:tc>
      </w:tr>
      <w:tr w14:paraId="6B793C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6" w:type="dxa"/>
            <w:shd w:val="clear" w:color="auto" w:fill="auto"/>
            <w:vAlign w:val="top"/>
          </w:tcPr>
          <w:p w14:paraId="3CBEB9F5">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Hans"/>
              </w:rPr>
            </w:pPr>
            <w:r>
              <w:rPr>
                <w:rFonts w:hint="eastAsia" w:ascii="宋体" w:hAnsi="宋体" w:eastAsia="宋体" w:cs="宋体"/>
                <w:sz w:val="24"/>
                <w:szCs w:val="24"/>
                <w:highlight w:val="none"/>
              </w:rPr>
              <w:t>其他资格要求2</w:t>
            </w:r>
          </w:p>
        </w:tc>
        <w:tc>
          <w:tcPr>
            <w:tcW w:w="7815" w:type="dxa"/>
          </w:tcPr>
          <w:p w14:paraId="49401D1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color w:val="auto"/>
                <w:kern w:val="0"/>
                <w:sz w:val="24"/>
                <w:szCs w:val="24"/>
                <w:highlight w:val="none"/>
                <w:lang w:val="en-US" w:eastAsia="zh-CN" w:bidi="ar"/>
              </w:rPr>
              <w:t>投标人拟担任本项目的项目负责人（1人）投标人拟派出担任本招标项目的设计负责人应具备有效的不低于</w:t>
            </w:r>
            <w:r>
              <w:rPr>
                <w:rFonts w:hint="eastAsia" w:ascii="宋体" w:hAnsi="宋体" w:eastAsia="宋体" w:cs="宋体"/>
                <w:color w:val="auto"/>
                <w:kern w:val="0"/>
                <w:sz w:val="24"/>
                <w:szCs w:val="24"/>
                <w:highlight w:val="none"/>
                <w:u w:val="single"/>
                <w:lang w:val="en-US" w:eastAsia="zh-CN" w:bidi="ar"/>
              </w:rPr>
              <w:t xml:space="preserve"> 一 </w:t>
            </w:r>
            <w:r>
              <w:rPr>
                <w:rFonts w:hint="eastAsia" w:ascii="宋体" w:hAnsi="宋体" w:eastAsia="宋体" w:cs="宋体"/>
                <w:color w:val="auto"/>
                <w:kern w:val="0"/>
                <w:sz w:val="24"/>
                <w:szCs w:val="24"/>
                <w:highlight w:val="none"/>
                <w:lang w:val="en-US" w:eastAsia="zh-CN" w:bidi="ar"/>
              </w:rPr>
              <w:t>级注册建筑师执业证书，且为本单位员工须提供有效的相关证书复印件及提交响应文件截止时间前六个月（不含提交响应文件截止时间的当月）中任一月份由单位为其缴纳的社保证明材料复印件。</w:t>
            </w:r>
          </w:p>
        </w:tc>
      </w:tr>
      <w:tr w14:paraId="7665E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336" w:type="dxa"/>
            <w:shd w:val="clear" w:color="auto" w:fill="auto"/>
            <w:vAlign w:val="top"/>
          </w:tcPr>
          <w:p w14:paraId="03DB86BA">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其他资格要求</w:t>
            </w:r>
            <w:r>
              <w:rPr>
                <w:rFonts w:hint="eastAsia" w:ascii="宋体" w:hAnsi="宋体" w:eastAsia="宋体" w:cs="宋体"/>
                <w:sz w:val="24"/>
                <w:szCs w:val="24"/>
                <w:highlight w:val="none"/>
                <w:lang w:val="en-US" w:eastAsia="zh-CN"/>
              </w:rPr>
              <w:t>3</w:t>
            </w:r>
          </w:p>
        </w:tc>
        <w:tc>
          <w:tcPr>
            <w:tcW w:w="7815" w:type="dxa"/>
          </w:tcPr>
          <w:p w14:paraId="5D515184">
            <w:pPr>
              <w:keepNext w:val="0"/>
              <w:keepLines w:val="0"/>
              <w:pageBreakBefore w:val="0"/>
              <w:widowControl/>
              <w:numPr>
                <w:ilvl w:val="0"/>
                <w:numId w:val="0"/>
              </w:numPr>
              <w:tabs>
                <w:tab w:val="left" w:pos="1100"/>
              </w:tabs>
              <w:kinsoku/>
              <w:wordWrap/>
              <w:overflowPunct/>
              <w:topLinePunct w:val="0"/>
              <w:autoSpaceDE/>
              <w:autoSpaceDN/>
              <w:bidi w:val="0"/>
              <w:adjustRightInd w:val="0"/>
              <w:snapToGrid w:val="0"/>
              <w:spacing w:line="400" w:lineRule="exact"/>
              <w:ind w:left="0" w:leftChars="0" w:right="0" w:rightChars="0" w:firstLine="0" w:firstLineChars="0"/>
              <w:jc w:val="both"/>
              <w:textAlignment w:val="auto"/>
              <w:outlineLvl w:val="9"/>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投标人及其拟派出担任本设计项目负责人均应具备</w:t>
            </w:r>
            <w:r>
              <w:rPr>
                <w:rFonts w:hint="eastAsia" w:ascii="宋体" w:hAnsi="宋体" w:eastAsia="宋体" w:cs="宋体"/>
                <w:color w:val="auto"/>
                <w:kern w:val="0"/>
                <w:sz w:val="24"/>
                <w:szCs w:val="24"/>
                <w:highlight w:val="none"/>
                <w:u w:val="single"/>
                <w:lang w:val="en-US" w:eastAsia="zh-CN" w:bidi="ar"/>
              </w:rPr>
              <w:t xml:space="preserve">  </w:t>
            </w:r>
            <w:r>
              <w:rPr>
                <w:rFonts w:hint="default" w:ascii="宋体" w:hAnsi="宋体" w:eastAsia="宋体" w:cs="宋体"/>
                <w:color w:val="auto"/>
                <w:kern w:val="0"/>
                <w:sz w:val="24"/>
                <w:szCs w:val="24"/>
                <w:highlight w:val="none"/>
                <w:u w:val="single"/>
                <w:lang w:val="en-US" w:eastAsia="zh-CN" w:bidi="ar"/>
              </w:rPr>
              <w:t>1</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项类似项目设计业绩。类似工程业绩是指（下同）：自本招标公告发布之日的前三年内（以合同签订日期为准，不含发布招标公告当日）完成设计的</w:t>
            </w:r>
            <w:r>
              <w:rPr>
                <w:rFonts w:hint="eastAsia" w:ascii="宋体" w:hAnsi="宋体" w:eastAsia="宋体" w:cs="宋体"/>
                <w:color w:val="auto"/>
                <w:kern w:val="0"/>
                <w:sz w:val="24"/>
                <w:szCs w:val="24"/>
                <w:highlight w:val="none"/>
                <w:u w:val="single"/>
                <w:lang w:val="en-US" w:eastAsia="zh-CN" w:bidi="ar"/>
              </w:rPr>
              <w:t>单项合同总建筑面积500平方米及以上或工程造价500万元及以上的实验室装修工程。</w:t>
            </w:r>
          </w:p>
        </w:tc>
      </w:tr>
    </w:tbl>
    <w:p w14:paraId="6F2802D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.3是否接受联合体形式的响应磋商：</w:t>
      </w:r>
    </w:p>
    <w:p w14:paraId="7AD34A29">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采购包1：接受</w:t>
      </w:r>
      <w:r>
        <w:rPr>
          <w:rFonts w:hint="eastAsia" w:ascii="宋体" w:hAnsi="宋体" w:eastAsia="宋体" w:cs="宋体"/>
          <w:sz w:val="24"/>
          <w:szCs w:val="24"/>
          <w:highlight w:val="none"/>
          <w:lang w:eastAsia="zh-CN"/>
        </w:rPr>
        <w:t>。</w:t>
      </w:r>
    </w:p>
    <w:p w14:paraId="3CB75622">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采用联合体招标的，牵头人为本项目工程设计单位</w:t>
      </w:r>
    </w:p>
    <w:p w14:paraId="75F7DCE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lang w:eastAsia="zh-CN"/>
        </w:rPr>
      </w:pPr>
    </w:p>
    <w:p w14:paraId="578CEA9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※根据上述资格要求，</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响应文件中应提交的“资格证明文件”相关规定和资料要求，详见竞争性磋商须知前附表和磋商文件第五章。</w:t>
      </w:r>
    </w:p>
    <w:p w14:paraId="1F83C58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6</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竞争性磋商文件获取期限：</w:t>
      </w:r>
    </w:p>
    <w:p w14:paraId="25DD724F">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lang w:val="en-US" w:eastAsia="zh-CN"/>
        </w:rPr>
        <w:t>6.1获取竞争性磋商</w:t>
      </w:r>
      <w:r>
        <w:rPr>
          <w:rFonts w:hint="eastAsia" w:ascii="宋体" w:hAnsi="宋体" w:eastAsia="宋体" w:cs="宋体"/>
          <w:color w:val="auto"/>
          <w:sz w:val="24"/>
          <w:highlight w:val="none"/>
        </w:rPr>
        <w:t>文件</w:t>
      </w:r>
      <w:r>
        <w:rPr>
          <w:rFonts w:hint="eastAsia" w:ascii="宋体" w:hAnsi="宋体" w:eastAsia="宋体" w:cs="宋体"/>
          <w:color w:val="auto"/>
          <w:kern w:val="0"/>
          <w:sz w:val="24"/>
          <w:highlight w:val="none"/>
        </w:rPr>
        <w:t>时间：</w:t>
      </w:r>
      <w:r>
        <w:rPr>
          <w:rFonts w:hint="eastAsia" w:ascii="宋体" w:hAnsi="宋体" w:eastAsia="宋体" w:cs="宋体"/>
          <w:color w:val="auto"/>
          <w:sz w:val="24"/>
          <w:highlight w:val="none"/>
          <w:u w:val="single"/>
          <w:lang w:val="en-US" w:eastAsia="zh-CN"/>
        </w:rPr>
        <w:t>2024</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lang w:val="en-US" w:eastAsia="zh-CN"/>
        </w:rPr>
        <w:t>12</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lang w:val="en-US" w:eastAsia="zh-CN"/>
        </w:rPr>
        <w:t>27</w:t>
      </w:r>
      <w:r>
        <w:rPr>
          <w:rFonts w:hint="eastAsia" w:ascii="宋体" w:hAnsi="宋体" w:eastAsia="宋体" w:cs="宋体"/>
          <w:color w:val="auto"/>
          <w:sz w:val="24"/>
          <w:highlight w:val="none"/>
        </w:rPr>
        <w:t>日</w:t>
      </w:r>
      <w:r>
        <w:rPr>
          <w:rFonts w:hint="eastAsia" w:ascii="宋体" w:hAnsi="宋体" w:eastAsia="宋体" w:cs="宋体"/>
          <w:color w:val="auto"/>
          <w:kern w:val="0"/>
          <w:sz w:val="24"/>
          <w:highlight w:val="none"/>
          <w:u w:val="none"/>
        </w:rPr>
        <w:t>起至</w:t>
      </w:r>
      <w:r>
        <w:rPr>
          <w:rFonts w:hint="eastAsia" w:ascii="宋体" w:hAnsi="宋体" w:eastAsia="宋体" w:cs="宋体"/>
          <w:color w:val="auto"/>
          <w:sz w:val="24"/>
          <w:highlight w:val="none"/>
          <w:u w:val="single"/>
          <w:lang w:val="en-US" w:eastAsia="zh-CN"/>
        </w:rPr>
        <w:t xml:space="preserve">  2025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lang w:val="en-US" w:eastAsia="zh-CN"/>
        </w:rPr>
        <w:t xml:space="preserve"> 1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lang w:val="en-US" w:eastAsia="zh-CN"/>
        </w:rPr>
        <w:t xml:space="preserve"> 7 </w:t>
      </w:r>
      <w:r>
        <w:rPr>
          <w:rFonts w:hint="eastAsia" w:ascii="宋体" w:hAnsi="宋体" w:eastAsia="宋体" w:cs="宋体"/>
          <w:color w:val="auto"/>
          <w:sz w:val="24"/>
          <w:highlight w:val="none"/>
        </w:rPr>
        <w:t>日</w:t>
      </w:r>
      <w:r>
        <w:rPr>
          <w:rFonts w:hint="eastAsia" w:ascii="宋体" w:hAnsi="宋体" w:eastAsia="宋体" w:cs="宋体"/>
          <w:color w:val="auto"/>
          <w:kern w:val="0"/>
          <w:sz w:val="24"/>
          <w:highlight w:val="none"/>
        </w:rPr>
        <w:t>，每天08:</w:t>
      </w:r>
      <w:r>
        <w:rPr>
          <w:rFonts w:hint="eastAsia" w:ascii="宋体" w:hAnsi="宋体" w:eastAsia="宋体" w:cs="宋体"/>
          <w:color w:val="auto"/>
          <w:kern w:val="0"/>
          <w:sz w:val="24"/>
          <w:highlight w:val="none"/>
          <w:lang w:val="en-US" w:eastAsia="zh-CN"/>
        </w:rPr>
        <w:t>00</w:t>
      </w:r>
      <w:r>
        <w:rPr>
          <w:rFonts w:hint="eastAsia" w:ascii="宋体" w:hAnsi="宋体" w:eastAsia="宋体" w:cs="宋体"/>
          <w:color w:val="auto"/>
          <w:kern w:val="0"/>
          <w:sz w:val="24"/>
          <w:highlight w:val="none"/>
        </w:rPr>
        <w:t>-12:00，</w:t>
      </w:r>
      <w:r>
        <w:rPr>
          <w:rFonts w:hint="eastAsia" w:ascii="宋体" w:hAnsi="宋体" w:eastAsia="宋体" w:cs="宋体"/>
          <w:color w:val="auto"/>
          <w:kern w:val="0"/>
          <w:sz w:val="24"/>
          <w:highlight w:val="none"/>
          <w:lang w:val="en-US" w:eastAsia="zh-CN"/>
        </w:rPr>
        <w:t>14</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rPr>
        <w:t>0-</w:t>
      </w:r>
      <w:r>
        <w:rPr>
          <w:rFonts w:hint="eastAsia" w:ascii="宋体" w:hAnsi="宋体" w:eastAsia="宋体" w:cs="宋体"/>
          <w:color w:val="auto"/>
          <w:kern w:val="0"/>
          <w:sz w:val="24"/>
          <w:highlight w:val="none"/>
          <w:lang w:val="en-US" w:eastAsia="zh-CN"/>
        </w:rPr>
        <w:t>17</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rPr>
        <w:t>0（公休日、节假日除外）</w:t>
      </w:r>
      <w:r>
        <w:rPr>
          <w:rFonts w:hint="eastAsia" w:ascii="宋体" w:hAnsi="宋体" w:eastAsia="宋体" w:cs="宋体"/>
          <w:color w:val="auto"/>
          <w:kern w:val="0"/>
          <w:sz w:val="24"/>
          <w:highlight w:val="none"/>
          <w:lang w:eastAsia="zh-CN"/>
        </w:rPr>
        <w:t>。</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公告</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更正公告若不一致，以更正公告为准。</w:t>
      </w:r>
    </w:p>
    <w:p w14:paraId="0AA0FF19">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6.2获取竞争性磋商文件地点：福建省儿童医院（地址：福州市晋安区横屿路966号行政科研楼710）。</w:t>
      </w:r>
    </w:p>
    <w:p w14:paraId="3DCD38EE">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6.3竞争性磋商文件售价：竞争性磋商文件售价0元人民币，售后不退。投标人响应时名称须与获取竞争性磋商文件时的名称一致，否则响应（报价）将被拒绝。</w:t>
      </w:r>
    </w:p>
    <w:p w14:paraId="386D952A">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6.4</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highlight w:val="none"/>
        </w:rPr>
        <w:t>可直接到</w:t>
      </w:r>
      <w:r>
        <w:rPr>
          <w:rFonts w:hint="eastAsia" w:ascii="宋体" w:hAnsi="宋体" w:eastAsia="宋体" w:cs="宋体"/>
          <w:color w:val="auto"/>
          <w:sz w:val="24"/>
          <w:highlight w:val="none"/>
          <w:lang w:val="en-US" w:eastAsia="zh-CN"/>
        </w:rPr>
        <w:t>福建省儿童医院</w:t>
      </w:r>
      <w:r>
        <w:rPr>
          <w:rFonts w:hint="eastAsia" w:ascii="宋体" w:hAnsi="宋体" w:eastAsia="宋体" w:cs="宋体"/>
          <w:color w:val="auto"/>
          <w:sz w:val="24"/>
          <w:highlight w:val="none"/>
        </w:rPr>
        <w:t>（地址：福州市晋安区横屿路966号行政科研楼710）</w:t>
      </w:r>
      <w:r>
        <w:rPr>
          <w:rFonts w:hint="eastAsia" w:ascii="宋体" w:hAnsi="宋体" w:eastAsia="宋体" w:cs="宋体"/>
          <w:color w:val="auto"/>
          <w:sz w:val="24"/>
          <w:highlight w:val="none"/>
          <w:lang w:eastAsia="zh-CN"/>
        </w:rPr>
        <w:t>获取竞争性磋商</w:t>
      </w:r>
      <w:r>
        <w:rPr>
          <w:rFonts w:hint="eastAsia" w:ascii="宋体" w:hAnsi="宋体" w:eastAsia="宋体" w:cs="宋体"/>
          <w:color w:val="auto"/>
          <w:sz w:val="24"/>
          <w:highlight w:val="none"/>
        </w:rPr>
        <w:t>文件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若有异地</w:t>
      </w:r>
      <w:r>
        <w:rPr>
          <w:rFonts w:hint="eastAsia" w:ascii="宋体" w:hAnsi="宋体" w:eastAsia="宋体" w:cs="宋体"/>
          <w:color w:val="auto"/>
          <w:sz w:val="24"/>
          <w:highlight w:val="none"/>
          <w:lang w:eastAsia="zh-CN"/>
        </w:rPr>
        <w:t>获取竞争性磋商</w:t>
      </w:r>
      <w:r>
        <w:rPr>
          <w:rFonts w:hint="eastAsia" w:ascii="宋体" w:hAnsi="宋体" w:eastAsia="宋体" w:cs="宋体"/>
          <w:color w:val="auto"/>
          <w:sz w:val="24"/>
          <w:highlight w:val="none"/>
        </w:rPr>
        <w:t>文件者，</w:t>
      </w:r>
      <w:r>
        <w:rPr>
          <w:rFonts w:hint="eastAsia" w:ascii="宋体" w:hAnsi="宋体" w:eastAsia="宋体" w:cs="宋体"/>
          <w:color w:val="auto"/>
          <w:sz w:val="24"/>
          <w:highlight w:val="none"/>
          <w:lang w:val="en-US" w:eastAsia="zh-CN"/>
        </w:rPr>
        <w:t>可联系电话：0591-86112121史女士通过邮件发送获取。</w:t>
      </w:r>
      <w:r>
        <w:rPr>
          <w:rFonts w:hint="eastAsia" w:ascii="宋体" w:hAnsi="宋体" w:eastAsia="宋体" w:cs="宋体"/>
          <w:color w:val="auto"/>
          <w:sz w:val="24"/>
          <w:highlight w:val="none"/>
        </w:rPr>
        <w:t>采购</w:t>
      </w:r>
      <w:r>
        <w:rPr>
          <w:rFonts w:hint="eastAsia" w:ascii="宋体" w:hAnsi="宋体" w:eastAsia="宋体" w:cs="宋体"/>
          <w:color w:val="auto"/>
          <w:sz w:val="24"/>
          <w:highlight w:val="none"/>
          <w:lang w:val="en-US" w:eastAsia="zh-CN"/>
        </w:rPr>
        <w:t>人</w:t>
      </w:r>
      <w:r>
        <w:rPr>
          <w:rFonts w:hint="eastAsia" w:ascii="宋体" w:hAnsi="宋体" w:eastAsia="宋体" w:cs="宋体"/>
          <w:color w:val="auto"/>
          <w:sz w:val="24"/>
          <w:highlight w:val="none"/>
        </w:rPr>
        <w:t>不接受未</w:t>
      </w:r>
      <w:r>
        <w:rPr>
          <w:rFonts w:hint="eastAsia" w:ascii="宋体" w:hAnsi="宋体" w:eastAsia="宋体" w:cs="宋体"/>
          <w:color w:val="auto"/>
          <w:sz w:val="24"/>
          <w:highlight w:val="none"/>
          <w:lang w:eastAsia="zh-CN"/>
        </w:rPr>
        <w:t>获取竞争性磋商</w:t>
      </w:r>
      <w:r>
        <w:rPr>
          <w:rFonts w:hint="eastAsia" w:ascii="宋体" w:hAnsi="宋体" w:eastAsia="宋体" w:cs="宋体"/>
          <w:color w:val="auto"/>
          <w:sz w:val="24"/>
          <w:highlight w:val="none"/>
        </w:rPr>
        <w:t>文件的</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val="en-US" w:eastAsia="zh-CN"/>
        </w:rPr>
        <w:t>响应（报价）</w:t>
      </w:r>
      <w:r>
        <w:rPr>
          <w:rFonts w:hint="eastAsia" w:ascii="宋体" w:hAnsi="宋体" w:eastAsia="宋体" w:cs="宋体"/>
          <w:color w:val="auto"/>
          <w:sz w:val="24"/>
          <w:highlight w:val="none"/>
        </w:rPr>
        <w:t>与质疑。</w:t>
      </w:r>
    </w:p>
    <w:p w14:paraId="75CC4B74">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7</w:t>
      </w:r>
      <w:r>
        <w:rPr>
          <w:rFonts w:hint="eastAsia" w:ascii="宋体" w:hAnsi="宋体" w:eastAsia="宋体" w:cs="宋体"/>
          <w:b/>
          <w:sz w:val="24"/>
          <w:szCs w:val="24"/>
          <w:highlight w:val="none"/>
          <w:lang w:eastAsia="zh-CN"/>
        </w:rPr>
        <w:t>、</w:t>
      </w:r>
      <w:r>
        <w:rPr>
          <w:rFonts w:hint="eastAsia" w:ascii="宋体" w:hAnsi="宋体" w:eastAsia="宋体" w:cs="宋体"/>
          <w:b/>
          <w:bCs/>
          <w:color w:val="auto"/>
          <w:highlight w:val="none"/>
        </w:rPr>
        <w:t>首次响应文件递交截止时间及地点：</w:t>
      </w:r>
    </w:p>
    <w:p w14:paraId="7CF7C2AC">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strike w:val="0"/>
          <w:dstrike w:val="0"/>
          <w:color w:val="auto"/>
          <w:highlight w:val="none"/>
        </w:rPr>
      </w:pPr>
      <w:r>
        <w:rPr>
          <w:rFonts w:hint="eastAsia" w:ascii="宋体" w:hAnsi="宋体" w:eastAsia="宋体" w:cs="宋体"/>
          <w:strike w:val="0"/>
          <w:dstrike w:val="0"/>
          <w:color w:val="auto"/>
          <w:highlight w:val="none"/>
        </w:rPr>
        <w:t>递交截止</w:t>
      </w:r>
      <w:r>
        <w:rPr>
          <w:rFonts w:hint="eastAsia" w:ascii="宋体" w:hAnsi="宋体" w:eastAsia="宋体" w:cs="宋体"/>
          <w:strike w:val="0"/>
          <w:dstrike w:val="0"/>
          <w:color w:val="auto"/>
          <w:highlight w:val="none"/>
          <w:lang w:eastAsia="zh-CN"/>
        </w:rPr>
        <w:t>时间：</w:t>
      </w:r>
      <w:r>
        <w:rPr>
          <w:rFonts w:hint="eastAsia" w:ascii="宋体" w:hAnsi="宋体" w:eastAsia="宋体" w:cs="宋体"/>
          <w:color w:val="auto"/>
          <w:sz w:val="24"/>
          <w:highlight w:val="none"/>
          <w:u w:val="single"/>
          <w:lang w:val="en-US" w:eastAsia="zh-CN"/>
        </w:rPr>
        <w:t>2025</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lang w:val="en-US" w:eastAsia="zh-CN"/>
        </w:rPr>
        <w:t>1</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lang w:val="en-US" w:eastAsia="zh-CN"/>
        </w:rPr>
        <w:t>7</w:t>
      </w:r>
      <w:r>
        <w:rPr>
          <w:rFonts w:hint="eastAsia" w:ascii="宋体" w:hAnsi="宋体" w:eastAsia="宋体" w:cs="宋体"/>
          <w:color w:val="auto"/>
          <w:sz w:val="24"/>
          <w:highlight w:val="none"/>
        </w:rPr>
        <w:t>日</w:t>
      </w:r>
      <w:r>
        <w:rPr>
          <w:rFonts w:hint="eastAsia" w:ascii="宋体" w:hAnsi="宋体" w:eastAsia="宋体" w:cs="宋体"/>
          <w:color w:val="auto"/>
          <w:sz w:val="24"/>
          <w:highlight w:val="none"/>
          <w:u w:val="single"/>
          <w:lang w:val="en-US" w:eastAsia="zh-CN"/>
        </w:rPr>
        <w:t xml:space="preserve"> 15 </w:t>
      </w:r>
      <w:r>
        <w:rPr>
          <w:rFonts w:hint="eastAsia" w:ascii="宋体" w:hAnsi="宋体" w:eastAsia="宋体" w:cs="宋体"/>
          <w:strike w:val="0"/>
          <w:dstrike w:val="0"/>
          <w:color w:val="auto"/>
          <w:highlight w:val="none"/>
          <w:u w:val="none"/>
        </w:rPr>
        <w:t>:</w:t>
      </w:r>
      <w:r>
        <w:rPr>
          <w:rFonts w:hint="eastAsia" w:ascii="宋体" w:hAnsi="宋体" w:eastAsia="宋体" w:cs="宋体"/>
          <w:color w:val="auto"/>
          <w:sz w:val="24"/>
          <w:highlight w:val="none"/>
          <w:u w:val="single"/>
          <w:lang w:val="en-US" w:eastAsia="zh-CN"/>
        </w:rPr>
        <w:t>00</w:t>
      </w:r>
      <w:r>
        <w:rPr>
          <w:rFonts w:hint="eastAsia" w:ascii="宋体" w:hAnsi="宋体" w:eastAsia="宋体" w:cs="宋体"/>
          <w:strike w:val="0"/>
          <w:dstrike w:val="0"/>
          <w:color w:val="auto"/>
          <w:highlight w:val="none"/>
        </w:rPr>
        <w:t>(北京时间），</w:t>
      </w:r>
      <w:r>
        <w:rPr>
          <w:rFonts w:hint="eastAsia" w:ascii="宋体" w:hAnsi="宋体" w:eastAsia="宋体" w:cs="宋体"/>
          <w:strike w:val="0"/>
          <w:dstrike w:val="0"/>
          <w:color w:val="auto"/>
          <w:highlight w:val="none"/>
          <w:lang w:eastAsia="zh-CN"/>
        </w:rPr>
        <w:t>投标人</w:t>
      </w:r>
      <w:r>
        <w:rPr>
          <w:rFonts w:hint="eastAsia" w:ascii="宋体" w:hAnsi="宋体" w:eastAsia="宋体" w:cs="宋体"/>
          <w:strike w:val="0"/>
          <w:dstrike w:val="0"/>
          <w:color w:val="auto"/>
          <w:highlight w:val="none"/>
        </w:rPr>
        <w:t>应在此之前将密封的</w:t>
      </w:r>
      <w:r>
        <w:rPr>
          <w:rFonts w:hint="eastAsia" w:ascii="宋体" w:hAnsi="宋体" w:eastAsia="宋体" w:cs="宋体"/>
          <w:strike w:val="0"/>
          <w:dstrike w:val="0"/>
          <w:color w:val="auto"/>
          <w:highlight w:val="none"/>
          <w:lang w:eastAsia="zh-CN"/>
        </w:rPr>
        <w:t>响应</w:t>
      </w:r>
      <w:r>
        <w:rPr>
          <w:rFonts w:hint="eastAsia" w:ascii="宋体" w:hAnsi="宋体" w:eastAsia="宋体" w:cs="宋体"/>
          <w:strike w:val="0"/>
          <w:dstrike w:val="0"/>
          <w:color w:val="auto"/>
          <w:highlight w:val="none"/>
        </w:rPr>
        <w:t>文件送达福建省儿童医院（地址：福州市晋安区横屿路966号行政科研楼</w:t>
      </w:r>
      <w:r>
        <w:rPr>
          <w:rFonts w:hint="eastAsia" w:ascii="宋体" w:hAnsi="宋体" w:eastAsia="宋体" w:cs="宋体"/>
          <w:strike w:val="0"/>
          <w:dstrike w:val="0"/>
          <w:color w:val="auto"/>
          <w:highlight w:val="none"/>
          <w:lang w:val="en-US" w:eastAsia="zh-CN"/>
        </w:rPr>
        <w:t>737）</w:t>
      </w:r>
      <w:r>
        <w:rPr>
          <w:rFonts w:hint="eastAsia" w:ascii="宋体" w:hAnsi="宋体" w:eastAsia="宋体" w:cs="宋体"/>
          <w:strike w:val="0"/>
          <w:dstrike w:val="0"/>
          <w:color w:val="auto"/>
          <w:highlight w:val="none"/>
        </w:rPr>
        <w:t>，逾期送达的或不符合规定的</w:t>
      </w:r>
      <w:r>
        <w:rPr>
          <w:rFonts w:hint="eastAsia" w:ascii="宋体" w:hAnsi="宋体" w:eastAsia="宋体" w:cs="宋体"/>
          <w:strike w:val="0"/>
          <w:dstrike w:val="0"/>
          <w:color w:val="auto"/>
          <w:highlight w:val="none"/>
          <w:lang w:eastAsia="zh-CN"/>
        </w:rPr>
        <w:t>响应</w:t>
      </w:r>
      <w:r>
        <w:rPr>
          <w:rFonts w:hint="eastAsia" w:ascii="宋体" w:hAnsi="宋体" w:eastAsia="宋体" w:cs="宋体"/>
          <w:strike w:val="0"/>
          <w:dstrike w:val="0"/>
          <w:color w:val="auto"/>
          <w:highlight w:val="none"/>
        </w:rPr>
        <w:t>文件将被拒绝接受。</w:t>
      </w:r>
      <w:r>
        <w:rPr>
          <w:rFonts w:hint="eastAsia" w:ascii="宋体" w:hAnsi="宋体" w:eastAsia="宋体" w:cs="宋体"/>
          <w:strike w:val="0"/>
          <w:dstrike w:val="0"/>
          <w:color w:val="auto"/>
          <w:highlight w:val="none"/>
          <w:lang w:eastAsia="zh-CN"/>
        </w:rPr>
        <w:t>采购</w:t>
      </w:r>
      <w:r>
        <w:rPr>
          <w:rFonts w:hint="eastAsia" w:ascii="宋体" w:hAnsi="宋体" w:eastAsia="宋体" w:cs="宋体"/>
          <w:strike w:val="0"/>
          <w:dstrike w:val="0"/>
          <w:color w:val="auto"/>
          <w:highlight w:val="none"/>
        </w:rPr>
        <w:t>公告</w:t>
      </w:r>
      <w:r>
        <w:rPr>
          <w:rFonts w:hint="eastAsia" w:ascii="宋体" w:hAnsi="宋体" w:eastAsia="宋体" w:cs="宋体"/>
          <w:strike w:val="0"/>
          <w:dstrike w:val="0"/>
          <w:color w:val="auto"/>
          <w:highlight w:val="none"/>
          <w:lang w:eastAsia="zh-CN"/>
        </w:rPr>
        <w:t>与</w:t>
      </w:r>
      <w:r>
        <w:rPr>
          <w:rFonts w:hint="eastAsia" w:ascii="宋体" w:hAnsi="宋体" w:eastAsia="宋体" w:cs="宋体"/>
          <w:strike w:val="0"/>
          <w:dstrike w:val="0"/>
          <w:color w:val="auto"/>
          <w:highlight w:val="none"/>
        </w:rPr>
        <w:t>更正公告若不一致，以更正公告为准。</w:t>
      </w:r>
    </w:p>
    <w:p w14:paraId="4A732EF7">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8</w:t>
      </w:r>
      <w:r>
        <w:rPr>
          <w:rFonts w:hint="eastAsia" w:ascii="宋体" w:hAnsi="宋体" w:eastAsia="宋体" w:cs="宋体"/>
          <w:b/>
          <w:sz w:val="24"/>
          <w:szCs w:val="24"/>
          <w:highlight w:val="none"/>
          <w:lang w:eastAsia="zh-CN"/>
        </w:rPr>
        <w:t>、</w:t>
      </w:r>
      <w:r>
        <w:rPr>
          <w:rFonts w:hint="eastAsia" w:ascii="宋体" w:hAnsi="宋体" w:eastAsia="宋体" w:cs="宋体"/>
          <w:b/>
          <w:bCs/>
          <w:color w:val="auto"/>
          <w:highlight w:val="none"/>
        </w:rPr>
        <w:t>磋商时间及地点：</w:t>
      </w:r>
    </w:p>
    <w:p w14:paraId="048F07E0">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8.1</w:t>
      </w:r>
      <w:r>
        <w:rPr>
          <w:rFonts w:hint="eastAsia" w:ascii="宋体" w:hAnsi="宋体" w:eastAsia="宋体" w:cs="宋体"/>
          <w:color w:val="auto"/>
          <w:sz w:val="24"/>
          <w:szCs w:val="24"/>
          <w:highlight w:val="none"/>
        </w:rPr>
        <w:t>开</w:t>
      </w:r>
      <w:r>
        <w:rPr>
          <w:rFonts w:hint="eastAsia" w:ascii="宋体" w:hAnsi="宋体" w:eastAsia="宋体" w:cs="宋体"/>
          <w:color w:val="auto"/>
          <w:sz w:val="24"/>
          <w:szCs w:val="24"/>
          <w:highlight w:val="none"/>
          <w:lang w:eastAsia="zh-CN"/>
        </w:rPr>
        <w:t>启</w:t>
      </w:r>
      <w:r>
        <w:rPr>
          <w:rFonts w:hint="eastAsia" w:ascii="宋体" w:hAnsi="宋体" w:eastAsia="宋体" w:cs="宋体"/>
          <w:color w:val="auto"/>
          <w:sz w:val="24"/>
          <w:szCs w:val="24"/>
          <w:highlight w:val="none"/>
        </w:rPr>
        <w:t>时间：</w:t>
      </w:r>
      <w:r>
        <w:rPr>
          <w:rFonts w:hint="eastAsia" w:ascii="宋体" w:hAnsi="宋体" w:eastAsia="宋体" w:cs="宋体"/>
          <w:color w:val="auto"/>
          <w:sz w:val="24"/>
          <w:highlight w:val="none"/>
          <w:u w:val="single"/>
          <w:lang w:val="en-US" w:eastAsia="zh-CN"/>
        </w:rPr>
        <w:t>2025</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lang w:val="en-US" w:eastAsia="zh-CN"/>
        </w:rPr>
        <w:t>1</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lang w:val="en-US" w:eastAsia="zh-CN"/>
        </w:rPr>
        <w:t>7</w:t>
      </w:r>
      <w:r>
        <w:rPr>
          <w:rFonts w:hint="eastAsia" w:ascii="宋体" w:hAnsi="宋体" w:eastAsia="宋体" w:cs="宋体"/>
          <w:color w:val="auto"/>
          <w:sz w:val="24"/>
          <w:highlight w:val="none"/>
        </w:rPr>
        <w:t>日</w:t>
      </w:r>
      <w:r>
        <w:rPr>
          <w:rFonts w:hint="eastAsia" w:ascii="宋体" w:hAnsi="宋体" w:eastAsia="宋体" w:cs="宋体"/>
          <w:color w:val="auto"/>
          <w:sz w:val="24"/>
          <w:highlight w:val="none"/>
          <w:u w:val="single"/>
          <w:lang w:val="en-US" w:eastAsia="zh-CN"/>
        </w:rPr>
        <w:t xml:space="preserve"> 15 </w:t>
      </w:r>
      <w:r>
        <w:rPr>
          <w:rFonts w:hint="eastAsia" w:ascii="宋体" w:hAnsi="宋体" w:eastAsia="宋体" w:cs="宋体"/>
          <w:strike w:val="0"/>
          <w:dstrike w:val="0"/>
          <w:color w:val="auto"/>
          <w:highlight w:val="none"/>
          <w:u w:val="none"/>
        </w:rPr>
        <w:t>:</w:t>
      </w:r>
      <w:r>
        <w:rPr>
          <w:rFonts w:hint="eastAsia" w:ascii="宋体" w:hAnsi="宋体" w:eastAsia="宋体" w:cs="宋体"/>
          <w:color w:val="auto"/>
          <w:sz w:val="24"/>
          <w:highlight w:val="none"/>
          <w:u w:val="single"/>
          <w:lang w:val="en-US" w:eastAsia="zh-CN"/>
        </w:rPr>
        <w:t>00</w:t>
      </w:r>
      <w:r>
        <w:rPr>
          <w:rFonts w:hint="eastAsia" w:ascii="宋体" w:hAnsi="宋体" w:eastAsia="宋体" w:cs="宋体"/>
          <w:strike w:val="0"/>
          <w:dstrike w:val="0"/>
          <w:color w:val="auto"/>
          <w:sz w:val="24"/>
          <w:szCs w:val="24"/>
          <w:highlight w:val="none"/>
        </w:rPr>
        <w:t>(北京时间）</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公告</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更正公告若不一致，以更正公告为准。</w:t>
      </w:r>
    </w:p>
    <w:p w14:paraId="702881A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lang w:val="en-US" w:eastAsia="zh-CN"/>
        </w:rPr>
        <w:t>8.2</w:t>
      </w:r>
      <w:r>
        <w:rPr>
          <w:rFonts w:hint="eastAsia" w:ascii="宋体" w:hAnsi="宋体" w:eastAsia="宋体" w:cs="宋体"/>
          <w:color w:val="auto"/>
          <w:sz w:val="24"/>
          <w:highlight w:val="none"/>
        </w:rPr>
        <w:t>开</w:t>
      </w:r>
      <w:r>
        <w:rPr>
          <w:rFonts w:hint="eastAsia" w:ascii="宋体" w:hAnsi="宋体" w:eastAsia="宋体" w:cs="宋体"/>
          <w:color w:val="auto"/>
          <w:sz w:val="24"/>
          <w:highlight w:val="none"/>
          <w:lang w:eastAsia="zh-CN"/>
        </w:rPr>
        <w:t>启</w:t>
      </w:r>
      <w:r>
        <w:rPr>
          <w:rFonts w:hint="eastAsia" w:ascii="宋体" w:hAnsi="宋体" w:eastAsia="宋体" w:cs="宋体"/>
          <w:color w:val="auto"/>
          <w:sz w:val="24"/>
          <w:highlight w:val="none"/>
        </w:rPr>
        <w:t xml:space="preserve">地点: </w:t>
      </w:r>
      <w:r>
        <w:rPr>
          <w:rFonts w:hint="eastAsia" w:ascii="宋体" w:hAnsi="宋体" w:eastAsia="宋体" w:cs="宋体"/>
          <w:strike w:val="0"/>
          <w:dstrike w:val="0"/>
          <w:color w:val="auto"/>
          <w:kern w:val="2"/>
          <w:sz w:val="24"/>
          <w:szCs w:val="24"/>
          <w:highlight w:val="none"/>
          <w:lang w:eastAsia="zh-CN" w:bidi="ar-SA"/>
        </w:rPr>
        <w:t>福建省儿童医院（地址：福州市晋安区横屿路966号行政科研楼</w:t>
      </w:r>
      <w:r>
        <w:rPr>
          <w:rFonts w:hint="eastAsia" w:ascii="宋体" w:hAnsi="宋体" w:eastAsia="宋体" w:cs="宋体"/>
          <w:strike w:val="0"/>
          <w:dstrike w:val="0"/>
          <w:color w:val="auto"/>
          <w:kern w:val="2"/>
          <w:sz w:val="24"/>
          <w:szCs w:val="24"/>
          <w:highlight w:val="none"/>
          <w:lang w:val="en-US" w:eastAsia="zh-CN" w:bidi="ar-SA"/>
        </w:rPr>
        <w:t>737会议室）</w:t>
      </w: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公告</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更正公告若不一致，以更正公告为准。</w:t>
      </w:r>
    </w:p>
    <w:p w14:paraId="127C86F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lang w:val="en-US" w:eastAsia="zh-CN"/>
        </w:rPr>
        <w:t>9</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竞争性磋商公告期限：</w:t>
      </w:r>
    </w:p>
    <w:p w14:paraId="6F476FC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w:t>
      </w:r>
      <w:r>
        <w:rPr>
          <w:rFonts w:hint="eastAsia" w:ascii="宋体" w:hAnsi="宋体" w:eastAsia="宋体" w:cs="宋体"/>
          <w:color w:val="auto"/>
          <w:sz w:val="24"/>
          <w:szCs w:val="24"/>
          <w:highlight w:val="none"/>
          <w:lang w:val="en-US" w:eastAsia="zh-CN"/>
        </w:rPr>
        <w:t>福建省儿童医院官网</w:t>
      </w:r>
      <w:r>
        <w:rPr>
          <w:rFonts w:hint="eastAsia" w:ascii="宋体" w:hAnsi="宋体" w:eastAsia="宋体" w:cs="宋体"/>
          <w:color w:val="auto"/>
          <w:sz w:val="24"/>
          <w:szCs w:val="24"/>
          <w:highlight w:val="none"/>
        </w:rPr>
        <w:t>https://www.fjsetyy.com发布公告之日起3个工作日。</w:t>
      </w:r>
    </w:p>
    <w:p w14:paraId="3029E18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outlineLvl w:val="2"/>
        <w:rPr>
          <w:rFonts w:hint="eastAsia" w:ascii="宋体" w:hAnsi="宋体" w:eastAsia="宋体" w:cs="宋体"/>
          <w:sz w:val="24"/>
          <w:szCs w:val="24"/>
          <w:highlight w:val="none"/>
          <w:lang w:eastAsia="zh-CN"/>
        </w:rPr>
      </w:pPr>
      <w:r>
        <w:rPr>
          <w:rFonts w:hint="eastAsia" w:ascii="宋体" w:hAnsi="宋体" w:eastAsia="宋体" w:cs="宋体"/>
          <w:b/>
          <w:sz w:val="24"/>
          <w:szCs w:val="24"/>
          <w:highlight w:val="none"/>
          <w:lang w:val="en-US" w:eastAsia="zh-CN"/>
        </w:rPr>
        <w:t>10</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采购人：</w:t>
      </w:r>
      <w:r>
        <w:rPr>
          <w:rFonts w:hint="eastAsia" w:ascii="宋体" w:hAnsi="宋体" w:eastAsia="宋体" w:cs="宋体"/>
          <w:b/>
          <w:sz w:val="24"/>
          <w:szCs w:val="24"/>
          <w:highlight w:val="none"/>
          <w:lang w:eastAsia="zh-CN"/>
        </w:rPr>
        <w:t>福建省儿童医院</w:t>
      </w:r>
    </w:p>
    <w:p w14:paraId="5055664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地址：福建省福州市晋安区横屿路966号</w:t>
      </w:r>
    </w:p>
    <w:p w14:paraId="058EFE9E">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rPr>
        <w:t>联系人：</w:t>
      </w:r>
      <w:r>
        <w:rPr>
          <w:rFonts w:hint="eastAsia" w:ascii="宋体" w:hAnsi="宋体" w:eastAsia="宋体" w:cs="宋体"/>
          <w:sz w:val="24"/>
          <w:szCs w:val="24"/>
          <w:highlight w:val="none"/>
          <w:u w:val="none"/>
          <w:lang w:val="en-US" w:eastAsia="zh-CN"/>
        </w:rPr>
        <w:t>史女士</w:t>
      </w:r>
    </w:p>
    <w:p w14:paraId="0C0D4A4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联系电话：</w:t>
      </w:r>
      <w:r>
        <w:rPr>
          <w:rFonts w:hint="eastAsia" w:ascii="宋体" w:hAnsi="宋体" w:eastAsia="宋体" w:cs="宋体"/>
          <w:sz w:val="24"/>
          <w:szCs w:val="24"/>
          <w:highlight w:val="none"/>
          <w:u w:val="none"/>
          <w:lang w:val="en-US" w:eastAsia="zh-CN"/>
        </w:rPr>
        <w:t>0591-86112121</w:t>
      </w:r>
    </w:p>
    <w:p w14:paraId="1FCC58F0">
      <w:pPr>
        <w:pageBreakBefore w:val="0"/>
        <w:kinsoku/>
        <w:wordWrap/>
        <w:overflowPunct/>
        <w:topLinePunct w:val="0"/>
        <w:bidi w:val="0"/>
        <w:spacing w:line="400" w:lineRule="exact"/>
        <w:textAlignment w:val="auto"/>
        <w:rPr>
          <w:b/>
          <w:sz w:val="36"/>
          <w:highlight w:val="none"/>
        </w:rPr>
      </w:pPr>
      <w:r>
        <w:rPr>
          <w:b/>
          <w:sz w:val="36"/>
          <w:highlight w:val="none"/>
        </w:rPr>
        <w:br w:type="page"/>
      </w:r>
    </w:p>
    <w:p w14:paraId="2D93A542">
      <w:pPr>
        <w:pStyle w:val="28"/>
        <w:pageBreakBefore w:val="0"/>
        <w:kinsoku/>
        <w:wordWrap/>
        <w:overflowPunct/>
        <w:topLinePunct w:val="0"/>
        <w:bidi w:val="0"/>
        <w:spacing w:line="400" w:lineRule="exact"/>
        <w:jc w:val="center"/>
        <w:textAlignment w:val="auto"/>
        <w:outlineLvl w:val="0"/>
        <w:rPr>
          <w:highlight w:val="none"/>
        </w:rPr>
      </w:pPr>
      <w:bookmarkStart w:id="13" w:name="_Toc11821"/>
      <w:r>
        <w:rPr>
          <w:b/>
          <w:sz w:val="36"/>
          <w:highlight w:val="none"/>
        </w:rPr>
        <w:t>第二章 竞争性磋商须知</w:t>
      </w:r>
      <w:bookmarkEnd w:id="13"/>
    </w:p>
    <w:p w14:paraId="1995CC0F">
      <w:pPr>
        <w:pStyle w:val="28"/>
        <w:pageBreakBefore w:val="0"/>
        <w:kinsoku/>
        <w:wordWrap/>
        <w:overflowPunct/>
        <w:topLinePunct w:val="0"/>
        <w:bidi w:val="0"/>
        <w:spacing w:line="400" w:lineRule="exact"/>
        <w:jc w:val="center"/>
        <w:textAlignment w:val="auto"/>
        <w:outlineLvl w:val="2"/>
        <w:rPr>
          <w:highlight w:val="none"/>
        </w:rPr>
      </w:pPr>
      <w:r>
        <w:rPr>
          <w:b/>
          <w:sz w:val="28"/>
          <w:highlight w:val="none"/>
        </w:rPr>
        <w:t>第1节 竞争性磋商须知前附表</w:t>
      </w:r>
    </w:p>
    <w:p w14:paraId="0AE28BF7">
      <w:pPr>
        <w:pStyle w:val="28"/>
        <w:keepNext w:val="0"/>
        <w:keepLines w:val="0"/>
        <w:pageBreakBefore w:val="0"/>
        <w:kinsoku/>
        <w:wordWrap/>
        <w:overflowPunct/>
        <w:topLinePunct w:val="0"/>
        <w:autoSpaceDE/>
        <w:autoSpaceDN/>
        <w:bidi w:val="0"/>
        <w:adjustRightInd/>
        <w:snapToGrid/>
        <w:spacing w:line="400" w:lineRule="exact"/>
        <w:jc w:val="center"/>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一、竞争性磋商须知前附表</w:t>
      </w:r>
    </w:p>
    <w:p w14:paraId="71D64A87">
      <w:pPr>
        <w:pStyle w:val="28"/>
        <w:keepNext w:val="0"/>
        <w:keepLines w:val="0"/>
        <w:pageBreakBefore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竞争性磋商须知前附表是对竞争性磋商须知的补充和细化，二者如有矛盾，以前附表中的要求和规定为准</w:t>
      </w:r>
    </w:p>
    <w:tbl>
      <w:tblPr>
        <w:tblStyle w:val="18"/>
        <w:tblW w:w="9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000"/>
        <w:gridCol w:w="1300"/>
        <w:gridCol w:w="6300"/>
      </w:tblGrid>
      <w:tr w14:paraId="04316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600" w:type="dxa"/>
            <w:tcBorders>
              <w:top w:val="single" w:color="auto" w:sz="8" w:space="0"/>
              <w:left w:val="single" w:color="auto" w:sz="8" w:space="0"/>
            </w:tcBorders>
            <w:noWrap w:val="0"/>
            <w:vAlign w:val="center"/>
          </w:tcPr>
          <w:p w14:paraId="6D669DF9">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项号</w:t>
            </w:r>
          </w:p>
        </w:tc>
        <w:tc>
          <w:tcPr>
            <w:tcW w:w="1000" w:type="dxa"/>
            <w:tcBorders>
              <w:top w:val="single" w:color="auto" w:sz="8" w:space="0"/>
            </w:tcBorders>
            <w:noWrap w:val="0"/>
            <w:vAlign w:val="center"/>
          </w:tcPr>
          <w:p w14:paraId="6A8441F3">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条款号</w:t>
            </w:r>
          </w:p>
        </w:tc>
        <w:tc>
          <w:tcPr>
            <w:tcW w:w="1300" w:type="dxa"/>
            <w:tcBorders>
              <w:top w:val="single" w:color="auto" w:sz="4" w:space="0"/>
              <w:right w:val="single" w:color="auto" w:sz="4" w:space="0"/>
            </w:tcBorders>
            <w:noWrap w:val="0"/>
            <w:vAlign w:val="center"/>
          </w:tcPr>
          <w:p w14:paraId="0EEBF871">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条款名称</w:t>
            </w:r>
          </w:p>
        </w:tc>
        <w:tc>
          <w:tcPr>
            <w:tcW w:w="6300" w:type="dxa"/>
            <w:tcBorders>
              <w:top w:val="single" w:color="auto" w:sz="4" w:space="0"/>
              <w:left w:val="single" w:color="auto" w:sz="4" w:space="0"/>
              <w:right w:val="single" w:color="auto" w:sz="8" w:space="0"/>
            </w:tcBorders>
            <w:noWrap w:val="0"/>
            <w:vAlign w:val="center"/>
          </w:tcPr>
          <w:p w14:paraId="37501047">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编列内容</w:t>
            </w:r>
          </w:p>
        </w:tc>
      </w:tr>
      <w:tr w14:paraId="07B0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0" w:type="dxa"/>
            <w:tcBorders>
              <w:left w:val="single" w:color="auto" w:sz="8" w:space="0"/>
            </w:tcBorders>
            <w:noWrap w:val="0"/>
            <w:vAlign w:val="center"/>
          </w:tcPr>
          <w:p w14:paraId="7785953F">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63C91278">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w:t>
            </w:r>
          </w:p>
        </w:tc>
        <w:tc>
          <w:tcPr>
            <w:tcW w:w="1300" w:type="dxa"/>
            <w:tcBorders>
              <w:right w:val="single" w:color="auto" w:sz="4" w:space="0"/>
            </w:tcBorders>
            <w:noWrap w:val="0"/>
            <w:vAlign w:val="center"/>
          </w:tcPr>
          <w:p w14:paraId="515F8D44">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招标人和招标代理机构</w:t>
            </w:r>
          </w:p>
        </w:tc>
        <w:tc>
          <w:tcPr>
            <w:tcW w:w="6300" w:type="dxa"/>
            <w:tcBorders>
              <w:left w:val="single" w:color="auto" w:sz="4" w:space="0"/>
              <w:right w:val="single" w:color="auto" w:sz="8" w:space="0"/>
            </w:tcBorders>
            <w:noWrap w:val="0"/>
            <w:vAlign w:val="center"/>
          </w:tcPr>
          <w:p w14:paraId="570EC1E7">
            <w:pPr>
              <w:pStyle w:val="5"/>
              <w:pageBreakBefore w:val="0"/>
              <w:kinsoku/>
              <w:wordWrap/>
              <w:overflowPunct/>
              <w:topLinePunct w:val="0"/>
              <w:bidi w:val="0"/>
              <w:snapToGrid w:val="0"/>
              <w:spacing w:line="400" w:lineRule="exact"/>
              <w:ind w:firstLine="480" w:firstLineChars="200"/>
              <w:textAlignment w:val="auto"/>
              <w:rPr>
                <w:rFonts w:hint="eastAsia" w:asciiTheme="minorEastAsia" w:hAnsiTheme="minorEastAsia" w:eastAsiaTheme="minorEastAsia" w:cstheme="minorEastAsia"/>
                <w:i/>
                <w:color w:val="auto"/>
                <w:sz w:val="24"/>
                <w:szCs w:val="24"/>
                <w:highlight w:val="none"/>
                <w:u w:val="single"/>
                <w:lang w:eastAsia="zh-CN"/>
              </w:rPr>
            </w:pPr>
            <w:r>
              <w:rPr>
                <w:rFonts w:hint="eastAsia" w:asciiTheme="minorEastAsia" w:hAnsiTheme="minorEastAsia" w:eastAsiaTheme="minorEastAsia" w:cstheme="minorEastAsia"/>
                <w:color w:val="auto"/>
                <w:sz w:val="24"/>
                <w:szCs w:val="24"/>
                <w:highlight w:val="none"/>
                <w:lang w:eastAsia="zh-CN"/>
              </w:rPr>
              <w:t>详见《招标公告》</w:t>
            </w:r>
          </w:p>
        </w:tc>
      </w:tr>
      <w:tr w14:paraId="6FAB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00" w:type="dxa"/>
            <w:tcBorders>
              <w:left w:val="single" w:color="auto" w:sz="8" w:space="0"/>
            </w:tcBorders>
            <w:noWrap w:val="0"/>
            <w:vAlign w:val="center"/>
          </w:tcPr>
          <w:p w14:paraId="5A25C808">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24236E27">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w:t>
            </w:r>
          </w:p>
        </w:tc>
        <w:tc>
          <w:tcPr>
            <w:tcW w:w="1300" w:type="dxa"/>
            <w:tcBorders>
              <w:right w:val="single" w:color="auto" w:sz="4" w:space="0"/>
            </w:tcBorders>
            <w:noWrap w:val="0"/>
            <w:vAlign w:val="center"/>
          </w:tcPr>
          <w:p w14:paraId="26AF0128">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本招标项目名称、招标编号和标段划分</w:t>
            </w:r>
          </w:p>
        </w:tc>
        <w:tc>
          <w:tcPr>
            <w:tcW w:w="6300" w:type="dxa"/>
            <w:tcBorders>
              <w:left w:val="single" w:color="auto" w:sz="4" w:space="0"/>
              <w:right w:val="single" w:color="auto" w:sz="8" w:space="0"/>
            </w:tcBorders>
            <w:noWrap w:val="0"/>
            <w:vAlign w:val="center"/>
          </w:tcPr>
          <w:p w14:paraId="3AF30EFD">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招标项目名称：</w:t>
            </w:r>
            <w:r>
              <w:rPr>
                <w:rFonts w:hint="eastAsia" w:asciiTheme="minorEastAsia" w:hAnsiTheme="minorEastAsia" w:eastAsiaTheme="minorEastAsia" w:cstheme="minorEastAsia"/>
                <w:color w:val="auto"/>
                <w:sz w:val="24"/>
                <w:szCs w:val="24"/>
                <w:highlight w:val="none"/>
                <w:u w:val="single"/>
                <w:lang w:eastAsia="zh-CN"/>
              </w:rPr>
              <w:t>上海儿童医学中心福建医院——国家区域医疗中心建设项目（二期）方案及初步设计</w:t>
            </w:r>
          </w:p>
          <w:p w14:paraId="6D10CF44">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报建编号：</w:t>
            </w:r>
            <w:r>
              <w:rPr>
                <w:rFonts w:hint="eastAsia" w:asciiTheme="minorEastAsia" w:hAnsiTheme="minorEastAsia" w:eastAsiaTheme="minorEastAsia" w:cstheme="minorEastAsia"/>
                <w:color w:val="auto"/>
                <w:sz w:val="24"/>
                <w:szCs w:val="24"/>
                <w:highlight w:val="none"/>
                <w:u w:val="single"/>
                <w:lang w:val="en-US"/>
              </w:rPr>
              <w:t>/</w:t>
            </w:r>
          </w:p>
          <w:p w14:paraId="11DCB9DA">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lang w:eastAsia="zh-CN"/>
              </w:rPr>
              <w:t>招标编号：</w:t>
            </w:r>
            <w:r>
              <w:rPr>
                <w:rFonts w:hint="eastAsia" w:asciiTheme="minorEastAsia" w:hAnsiTheme="minorEastAsia" w:eastAsiaTheme="minorEastAsia" w:cstheme="minorEastAsia"/>
                <w:color w:val="auto"/>
                <w:sz w:val="24"/>
                <w:szCs w:val="24"/>
                <w:highlight w:val="none"/>
                <w:u w:val="single"/>
                <w:lang w:val="en-US" w:eastAsia="zh-CN"/>
              </w:rPr>
              <w:t>/</w:t>
            </w:r>
          </w:p>
          <w:p w14:paraId="1A28258E">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标段划分：</w:t>
            </w:r>
            <w:r>
              <w:rPr>
                <w:rFonts w:hint="eastAsia" w:asciiTheme="minorEastAsia" w:hAnsiTheme="minorEastAsia" w:eastAsiaTheme="minorEastAsia" w:cstheme="minorEastAsia"/>
                <w:color w:val="auto"/>
                <w:sz w:val="24"/>
                <w:szCs w:val="24"/>
                <w:highlight w:val="none"/>
                <w:u w:val="single"/>
                <w:lang w:eastAsia="zh-CN"/>
              </w:rPr>
              <w:t>全部为一个标段</w:t>
            </w:r>
          </w:p>
          <w:p w14:paraId="1294786A">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招标人允许投标人提出资格审查申请的标段数量：</w:t>
            </w:r>
            <w:r>
              <w:rPr>
                <w:rFonts w:hint="eastAsia" w:asciiTheme="minorEastAsia" w:hAnsiTheme="minorEastAsia" w:eastAsiaTheme="minorEastAsia" w:cstheme="minorEastAsia"/>
                <w:color w:val="auto"/>
                <w:sz w:val="24"/>
                <w:szCs w:val="24"/>
                <w:highlight w:val="none"/>
                <w:u w:val="single"/>
                <w:lang w:val="en-US"/>
              </w:rPr>
              <w:t>1</w:t>
            </w:r>
          </w:p>
          <w:p w14:paraId="135E0FE9">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招标人允许资格审查合格的投标人参加投标的标段数量：</w:t>
            </w:r>
            <w:r>
              <w:rPr>
                <w:rFonts w:hint="eastAsia" w:asciiTheme="minorEastAsia" w:hAnsiTheme="minorEastAsia" w:eastAsiaTheme="minorEastAsia" w:cstheme="minorEastAsia"/>
                <w:color w:val="auto"/>
                <w:sz w:val="24"/>
                <w:szCs w:val="24"/>
                <w:highlight w:val="none"/>
                <w:u w:val="single"/>
                <w:lang w:val="en-US"/>
              </w:rPr>
              <w:t>1</w:t>
            </w:r>
          </w:p>
          <w:p w14:paraId="76459AF3">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招标人允许中标的标段数量：</w:t>
            </w:r>
            <w:r>
              <w:rPr>
                <w:rFonts w:hint="eastAsia" w:asciiTheme="minorEastAsia" w:hAnsiTheme="minorEastAsia" w:eastAsiaTheme="minorEastAsia" w:cstheme="minorEastAsia"/>
                <w:color w:val="auto"/>
                <w:sz w:val="24"/>
                <w:szCs w:val="24"/>
                <w:highlight w:val="none"/>
                <w:u w:val="single"/>
                <w:lang w:val="en-US"/>
              </w:rPr>
              <w:t>1</w:t>
            </w:r>
          </w:p>
        </w:tc>
      </w:tr>
      <w:tr w14:paraId="7646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600" w:type="dxa"/>
            <w:tcBorders>
              <w:left w:val="single" w:color="auto" w:sz="8" w:space="0"/>
            </w:tcBorders>
            <w:noWrap w:val="0"/>
            <w:vAlign w:val="center"/>
          </w:tcPr>
          <w:p w14:paraId="2BB3E67F">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0EFBB3BA">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w:t>
            </w:r>
          </w:p>
        </w:tc>
        <w:tc>
          <w:tcPr>
            <w:tcW w:w="1300" w:type="dxa"/>
            <w:tcBorders>
              <w:right w:val="single" w:color="auto" w:sz="4" w:space="0"/>
            </w:tcBorders>
            <w:noWrap w:val="0"/>
            <w:vAlign w:val="center"/>
          </w:tcPr>
          <w:p w14:paraId="22F32C43">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资金来源和落实情况</w:t>
            </w:r>
          </w:p>
        </w:tc>
        <w:tc>
          <w:tcPr>
            <w:tcW w:w="6300" w:type="dxa"/>
            <w:tcBorders>
              <w:left w:val="single" w:color="auto" w:sz="4" w:space="0"/>
              <w:right w:val="single" w:color="auto" w:sz="4" w:space="0"/>
            </w:tcBorders>
            <w:noWrap w:val="0"/>
            <w:vAlign w:val="top"/>
          </w:tcPr>
          <w:p w14:paraId="0D26E4B0">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资金来源：</w:t>
            </w:r>
            <w:r>
              <w:rPr>
                <w:rFonts w:hint="eastAsia" w:asciiTheme="minorEastAsia" w:hAnsiTheme="minorEastAsia" w:eastAsiaTheme="minorEastAsia" w:cstheme="minorEastAsia"/>
                <w:color w:val="auto"/>
                <w:sz w:val="24"/>
                <w:szCs w:val="24"/>
                <w:highlight w:val="none"/>
                <w:u w:val="single"/>
                <w:lang w:val="en-US" w:eastAsia="zh-CN"/>
              </w:rPr>
              <w:t>中央预算投资</w:t>
            </w:r>
          </w:p>
          <w:p w14:paraId="3D52CA9A">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出资比例：</w:t>
            </w:r>
            <w:r>
              <w:rPr>
                <w:rFonts w:hint="eastAsia" w:asciiTheme="minorEastAsia" w:hAnsiTheme="minorEastAsia" w:eastAsiaTheme="minorEastAsia" w:cstheme="minorEastAsia"/>
                <w:color w:val="auto"/>
                <w:sz w:val="24"/>
                <w:szCs w:val="24"/>
                <w:highlight w:val="none"/>
                <w:u w:val="single"/>
                <w:lang w:val="en-US"/>
              </w:rPr>
              <w:t>100%</w:t>
            </w:r>
          </w:p>
          <w:p w14:paraId="07A7326C">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i/>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资金落实情况：</w:t>
            </w:r>
            <w:r>
              <w:rPr>
                <w:rFonts w:hint="eastAsia" w:asciiTheme="minorEastAsia" w:hAnsiTheme="minorEastAsia" w:eastAsiaTheme="minorEastAsia" w:cstheme="minorEastAsia"/>
                <w:color w:val="auto"/>
                <w:sz w:val="24"/>
                <w:szCs w:val="24"/>
                <w:highlight w:val="none"/>
                <w:u w:val="single"/>
                <w:lang w:eastAsia="zh-CN"/>
              </w:rPr>
              <w:t>已落实</w:t>
            </w:r>
          </w:p>
        </w:tc>
      </w:tr>
      <w:tr w14:paraId="4A54E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600" w:type="dxa"/>
            <w:tcBorders>
              <w:left w:val="single" w:color="auto" w:sz="8" w:space="0"/>
            </w:tcBorders>
            <w:noWrap w:val="0"/>
            <w:vAlign w:val="center"/>
          </w:tcPr>
          <w:p w14:paraId="423320C9">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7097152C">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w:t>
            </w:r>
          </w:p>
        </w:tc>
        <w:tc>
          <w:tcPr>
            <w:tcW w:w="1300" w:type="dxa"/>
            <w:tcBorders>
              <w:right w:val="single" w:color="auto" w:sz="4" w:space="0"/>
            </w:tcBorders>
            <w:noWrap w:val="0"/>
            <w:vAlign w:val="center"/>
          </w:tcPr>
          <w:p w14:paraId="4282C448">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建设地点</w:t>
            </w:r>
          </w:p>
        </w:tc>
        <w:tc>
          <w:tcPr>
            <w:tcW w:w="6300" w:type="dxa"/>
            <w:tcBorders>
              <w:left w:val="single" w:color="auto" w:sz="4" w:space="0"/>
              <w:right w:val="single" w:color="auto" w:sz="4" w:space="0"/>
            </w:tcBorders>
            <w:noWrap w:val="0"/>
            <w:vAlign w:val="center"/>
          </w:tcPr>
          <w:p w14:paraId="5E4D0AF8">
            <w:pPr>
              <w:pStyle w:val="5"/>
              <w:pageBreakBefore w:val="0"/>
              <w:kinsoku/>
              <w:wordWrap/>
              <w:overflowPunct/>
              <w:topLinePunct w:val="0"/>
              <w:bidi w:val="0"/>
              <w:snapToGrid w:val="0"/>
              <w:spacing w:line="400" w:lineRule="exact"/>
              <w:ind w:firstLine="480" w:firstLineChars="200"/>
              <w:jc w:val="both"/>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u w:val="none"/>
                <w:lang w:eastAsia="zh-CN"/>
              </w:rPr>
              <w:t>详见《招标公告》</w:t>
            </w:r>
          </w:p>
        </w:tc>
      </w:tr>
      <w:tr w14:paraId="4E66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600" w:type="dxa"/>
            <w:tcBorders>
              <w:left w:val="single" w:color="auto" w:sz="8" w:space="0"/>
            </w:tcBorders>
            <w:noWrap w:val="0"/>
            <w:vAlign w:val="center"/>
          </w:tcPr>
          <w:p w14:paraId="49DBB823">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78759E49">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w:t>
            </w:r>
          </w:p>
        </w:tc>
        <w:tc>
          <w:tcPr>
            <w:tcW w:w="1300" w:type="dxa"/>
            <w:tcBorders>
              <w:right w:val="single" w:color="auto" w:sz="4" w:space="0"/>
            </w:tcBorders>
            <w:noWrap w:val="0"/>
            <w:vAlign w:val="center"/>
          </w:tcPr>
          <w:p w14:paraId="4D21322E">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建设规模</w:t>
            </w:r>
          </w:p>
        </w:tc>
        <w:tc>
          <w:tcPr>
            <w:tcW w:w="6300" w:type="dxa"/>
            <w:tcBorders>
              <w:left w:val="single" w:color="auto" w:sz="4" w:space="0"/>
              <w:right w:val="single" w:color="auto" w:sz="4" w:space="0"/>
            </w:tcBorders>
            <w:noWrap w:val="0"/>
            <w:vAlign w:val="center"/>
          </w:tcPr>
          <w:p w14:paraId="0EB84A74">
            <w:pPr>
              <w:pageBreakBefore w:val="0"/>
              <w:kinsoku/>
              <w:wordWrap/>
              <w:overflowPunct/>
              <w:topLinePunct w:val="0"/>
              <w:bidi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u w:val="none"/>
                <w:lang w:val="en-US" w:eastAsia="zh-CN" w:bidi="ar-SA"/>
              </w:rPr>
            </w:pPr>
            <w:r>
              <w:rPr>
                <w:rFonts w:hint="eastAsia" w:asciiTheme="minorEastAsia" w:hAnsiTheme="minorEastAsia" w:eastAsiaTheme="minorEastAsia" w:cstheme="minorEastAsia"/>
                <w:color w:val="auto"/>
                <w:kern w:val="2"/>
                <w:sz w:val="24"/>
                <w:szCs w:val="24"/>
                <w:highlight w:val="none"/>
                <w:u w:val="none"/>
                <w:lang w:val="en-US" w:eastAsia="zh-CN" w:bidi="ar-SA"/>
              </w:rPr>
              <w:t>详见《招标公告》</w:t>
            </w:r>
          </w:p>
        </w:tc>
      </w:tr>
      <w:tr w14:paraId="798B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600" w:type="dxa"/>
            <w:tcBorders>
              <w:left w:val="single" w:color="auto" w:sz="8" w:space="0"/>
            </w:tcBorders>
            <w:noWrap w:val="0"/>
            <w:vAlign w:val="center"/>
          </w:tcPr>
          <w:p w14:paraId="27153910">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5A7DFF7E">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w:t>
            </w:r>
          </w:p>
        </w:tc>
        <w:tc>
          <w:tcPr>
            <w:tcW w:w="1300" w:type="dxa"/>
            <w:tcBorders>
              <w:right w:val="single" w:color="auto" w:sz="4" w:space="0"/>
            </w:tcBorders>
            <w:noWrap w:val="0"/>
            <w:vAlign w:val="center"/>
          </w:tcPr>
          <w:p w14:paraId="017D3D96">
            <w:pPr>
              <w:pStyle w:val="5"/>
              <w:pageBreakBefore w:val="0"/>
              <w:kinsoku/>
              <w:wordWrap/>
              <w:overflowPunct/>
              <w:topLinePunct w:val="0"/>
              <w:bidi w:val="0"/>
              <w:snapToGrid w:val="0"/>
              <w:spacing w:line="400" w:lineRule="exact"/>
              <w:ind w:left="-129" w:leftChars="-54" w:firstLine="108" w:firstLineChars="45"/>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招标范围和内容</w:t>
            </w:r>
          </w:p>
        </w:tc>
        <w:tc>
          <w:tcPr>
            <w:tcW w:w="6300" w:type="dxa"/>
            <w:tcBorders>
              <w:left w:val="single" w:color="auto" w:sz="4" w:space="0"/>
              <w:right w:val="single" w:color="auto" w:sz="8" w:space="0"/>
            </w:tcBorders>
            <w:noWrap w:val="0"/>
            <w:vAlign w:val="center"/>
          </w:tcPr>
          <w:p w14:paraId="5755128A">
            <w:pPr>
              <w:pageBreakBefore w:val="0"/>
              <w:kinsoku/>
              <w:wordWrap/>
              <w:overflowPunct/>
              <w:topLinePunct w:val="0"/>
              <w:bidi w:val="0"/>
              <w:snapToGrid w:val="0"/>
              <w:spacing w:line="400" w:lineRule="exact"/>
              <w:ind w:firstLine="480" w:firstLineChars="200"/>
              <w:jc w:val="both"/>
              <w:textAlignment w:val="auto"/>
              <w:rPr>
                <w:rFonts w:hint="eastAsia" w:asciiTheme="minorEastAsia" w:hAnsiTheme="minorEastAsia" w:eastAsiaTheme="minorEastAsia" w:cstheme="minorEastAsia"/>
                <w:color w:val="auto"/>
                <w:kern w:val="2"/>
                <w:sz w:val="24"/>
                <w:szCs w:val="24"/>
                <w:highlight w:val="none"/>
                <w:u w:val="none"/>
                <w:lang w:val="en-US" w:eastAsia="zh-CN" w:bidi="ar-SA"/>
              </w:rPr>
            </w:pPr>
            <w:r>
              <w:rPr>
                <w:rFonts w:hint="eastAsia" w:asciiTheme="minorEastAsia" w:hAnsiTheme="minorEastAsia" w:eastAsiaTheme="minorEastAsia" w:cstheme="minorEastAsia"/>
                <w:color w:val="auto"/>
                <w:kern w:val="2"/>
                <w:sz w:val="24"/>
                <w:szCs w:val="24"/>
                <w:highlight w:val="none"/>
                <w:u w:val="none"/>
                <w:lang w:val="en-US" w:eastAsia="zh-CN" w:bidi="ar-SA"/>
              </w:rPr>
              <w:t>详见《招标公告》</w:t>
            </w:r>
          </w:p>
        </w:tc>
      </w:tr>
      <w:tr w14:paraId="25159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600" w:type="dxa"/>
            <w:tcBorders>
              <w:left w:val="single" w:color="auto" w:sz="8" w:space="0"/>
            </w:tcBorders>
            <w:noWrap w:val="0"/>
            <w:vAlign w:val="center"/>
          </w:tcPr>
          <w:p w14:paraId="01BDA13E">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3C035185">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w:t>
            </w:r>
          </w:p>
        </w:tc>
        <w:tc>
          <w:tcPr>
            <w:tcW w:w="1300" w:type="dxa"/>
            <w:tcBorders>
              <w:right w:val="single" w:color="auto" w:sz="4" w:space="0"/>
            </w:tcBorders>
            <w:noWrap w:val="0"/>
            <w:tcMar>
              <w:left w:w="57" w:type="dxa"/>
              <w:right w:w="57" w:type="dxa"/>
            </w:tcMar>
            <w:vAlign w:val="center"/>
          </w:tcPr>
          <w:p w14:paraId="1BE79D06">
            <w:pPr>
              <w:pStyle w:val="5"/>
              <w:pageBreakBefore w:val="0"/>
              <w:kinsoku/>
              <w:wordWrap/>
              <w:overflowPunct/>
              <w:topLinePunct w:val="0"/>
              <w:bidi w:val="0"/>
              <w:snapToGrid w:val="0"/>
              <w:spacing w:line="400" w:lineRule="exact"/>
              <w:ind w:left="-129" w:leftChars="-54" w:firstLine="108" w:firstLineChars="45"/>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计划开工日期和建设周期</w:t>
            </w:r>
          </w:p>
        </w:tc>
        <w:tc>
          <w:tcPr>
            <w:tcW w:w="6300" w:type="dxa"/>
            <w:tcBorders>
              <w:left w:val="single" w:color="auto" w:sz="4" w:space="0"/>
              <w:right w:val="single" w:color="auto" w:sz="8" w:space="0"/>
            </w:tcBorders>
            <w:noWrap w:val="0"/>
            <w:vAlign w:val="center"/>
          </w:tcPr>
          <w:p w14:paraId="6D8A7E8F">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u w:val="none"/>
                <w:lang w:val="en-US" w:eastAsia="zh-CN" w:bidi="ar-SA"/>
              </w:rPr>
              <w:t>详见《招标公告》</w:t>
            </w:r>
          </w:p>
        </w:tc>
      </w:tr>
      <w:tr w14:paraId="6AE98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00" w:type="dxa"/>
            <w:tcBorders>
              <w:left w:val="single" w:color="auto" w:sz="8" w:space="0"/>
            </w:tcBorders>
            <w:noWrap w:val="0"/>
            <w:vAlign w:val="center"/>
          </w:tcPr>
          <w:p w14:paraId="05D1D0CB">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3E29EBC1">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w:t>
            </w:r>
          </w:p>
        </w:tc>
        <w:tc>
          <w:tcPr>
            <w:tcW w:w="1300" w:type="dxa"/>
            <w:tcBorders>
              <w:right w:val="single" w:color="auto" w:sz="4" w:space="0"/>
            </w:tcBorders>
            <w:noWrap w:val="0"/>
            <w:vAlign w:val="center"/>
          </w:tcPr>
          <w:p w14:paraId="7FFB1AE9">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lang w:val="en-US" w:eastAsia="zh-CN"/>
              </w:rPr>
              <w:t>编制</w:t>
            </w:r>
            <w:r>
              <w:rPr>
                <w:rFonts w:hint="eastAsia" w:asciiTheme="minorEastAsia" w:hAnsiTheme="minorEastAsia" w:eastAsiaTheme="minorEastAsia" w:cstheme="minorEastAsia"/>
                <w:b/>
                <w:color w:val="auto"/>
                <w:sz w:val="24"/>
                <w:szCs w:val="24"/>
                <w:highlight w:val="none"/>
              </w:rPr>
              <w:t>周期</w:t>
            </w:r>
          </w:p>
        </w:tc>
        <w:tc>
          <w:tcPr>
            <w:tcW w:w="6300" w:type="dxa"/>
            <w:tcBorders>
              <w:left w:val="single" w:color="auto" w:sz="4" w:space="0"/>
              <w:right w:val="single" w:color="auto" w:sz="8" w:space="0"/>
            </w:tcBorders>
            <w:noWrap w:val="0"/>
            <w:vAlign w:val="center"/>
          </w:tcPr>
          <w:p w14:paraId="164FD218">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b/>
                <w:i/>
                <w:color w:val="auto"/>
                <w:sz w:val="24"/>
                <w:szCs w:val="24"/>
                <w:highlight w:val="none"/>
                <w:u w:val="single"/>
              </w:rPr>
            </w:pPr>
            <w:r>
              <w:rPr>
                <w:rFonts w:hint="eastAsia" w:asciiTheme="minorEastAsia" w:hAnsiTheme="minorEastAsia" w:cstheme="minorEastAsia"/>
                <w:color w:val="auto"/>
                <w:kern w:val="2"/>
                <w:sz w:val="24"/>
                <w:szCs w:val="24"/>
                <w:highlight w:val="none"/>
                <w:lang w:val="en-US" w:eastAsia="zh-CN" w:bidi="ar-SA"/>
              </w:rPr>
              <w:t>合同签订</w:t>
            </w:r>
            <w:r>
              <w:rPr>
                <w:rFonts w:hint="eastAsia" w:asciiTheme="minorEastAsia" w:hAnsiTheme="minorEastAsia" w:eastAsiaTheme="minorEastAsia" w:cstheme="minorEastAsia"/>
                <w:color w:val="auto"/>
                <w:kern w:val="2"/>
                <w:sz w:val="24"/>
                <w:szCs w:val="24"/>
                <w:highlight w:val="none"/>
                <w:lang w:val="en-US" w:eastAsia="zh-CN" w:bidi="ar-SA"/>
              </w:rPr>
              <w:t>后15日历日</w:t>
            </w:r>
          </w:p>
        </w:tc>
      </w:tr>
      <w:tr w14:paraId="6BBD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00" w:type="dxa"/>
            <w:tcBorders>
              <w:left w:val="single" w:color="auto" w:sz="8" w:space="0"/>
            </w:tcBorders>
            <w:noWrap w:val="0"/>
            <w:vAlign w:val="center"/>
          </w:tcPr>
          <w:p w14:paraId="2D018167">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59E75940">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w:t>
            </w:r>
          </w:p>
        </w:tc>
        <w:tc>
          <w:tcPr>
            <w:tcW w:w="1300" w:type="dxa"/>
            <w:tcBorders>
              <w:right w:val="single" w:color="auto" w:sz="4" w:space="0"/>
            </w:tcBorders>
            <w:noWrap w:val="0"/>
            <w:vAlign w:val="center"/>
          </w:tcPr>
          <w:p w14:paraId="34ADE659">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资格审查方式</w:t>
            </w:r>
          </w:p>
        </w:tc>
        <w:tc>
          <w:tcPr>
            <w:tcW w:w="6300" w:type="dxa"/>
            <w:tcBorders>
              <w:left w:val="single" w:color="auto" w:sz="4" w:space="0"/>
              <w:right w:val="single" w:color="auto" w:sz="8" w:space="0"/>
            </w:tcBorders>
            <w:noWrap w:val="0"/>
            <w:vAlign w:val="center"/>
          </w:tcPr>
          <w:p w14:paraId="6398A4DE">
            <w:pPr>
              <w:pStyle w:val="5"/>
              <w:pageBreakBefore w:val="0"/>
              <w:kinsoku/>
              <w:wordWrap/>
              <w:overflowPunct/>
              <w:topLinePunct w:val="0"/>
              <w:bidi w:val="0"/>
              <w:snapToGrid w:val="0"/>
              <w:spacing w:before="156" w:beforeLines="50"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采用</w:t>
            </w:r>
            <w:r>
              <w:rPr>
                <w:rFonts w:hint="eastAsia" w:asciiTheme="minorEastAsia" w:hAnsiTheme="minorEastAsia" w:eastAsiaTheme="minorEastAsia" w:cstheme="minorEastAsia"/>
                <w:color w:val="auto"/>
                <w:sz w:val="24"/>
                <w:szCs w:val="24"/>
                <w:highlight w:val="none"/>
                <w:u w:val="single"/>
              </w:rPr>
              <w:t>资格后审</w:t>
            </w:r>
            <w:r>
              <w:rPr>
                <w:rFonts w:hint="eastAsia" w:asciiTheme="minorEastAsia" w:hAnsiTheme="minorEastAsia" w:eastAsiaTheme="minorEastAsia" w:cstheme="minorEastAsia"/>
                <w:color w:val="auto"/>
                <w:sz w:val="24"/>
                <w:szCs w:val="24"/>
                <w:highlight w:val="none"/>
              </w:rPr>
              <w:t>方式。</w:t>
            </w:r>
          </w:p>
        </w:tc>
      </w:tr>
      <w:tr w14:paraId="15A2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00" w:type="dxa"/>
            <w:tcBorders>
              <w:left w:val="single" w:color="auto" w:sz="8" w:space="0"/>
            </w:tcBorders>
            <w:noWrap w:val="0"/>
            <w:vAlign w:val="center"/>
          </w:tcPr>
          <w:p w14:paraId="67BD709B">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74301F2D">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p>
        </w:tc>
        <w:tc>
          <w:tcPr>
            <w:tcW w:w="1300" w:type="dxa"/>
            <w:tcBorders>
              <w:right w:val="single" w:color="auto" w:sz="4" w:space="0"/>
            </w:tcBorders>
            <w:noWrap w:val="0"/>
            <w:vAlign w:val="center"/>
          </w:tcPr>
          <w:p w14:paraId="7EF7F8B1">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合格投标人</w:t>
            </w:r>
          </w:p>
          <w:p w14:paraId="72EFF846">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资格条件</w:t>
            </w:r>
          </w:p>
        </w:tc>
        <w:tc>
          <w:tcPr>
            <w:tcW w:w="6300" w:type="dxa"/>
            <w:tcBorders>
              <w:left w:val="single" w:color="auto" w:sz="4" w:space="0"/>
              <w:right w:val="single" w:color="auto" w:sz="8" w:space="0"/>
            </w:tcBorders>
            <w:noWrap w:val="0"/>
            <w:vAlign w:val="center"/>
          </w:tcPr>
          <w:p w14:paraId="0FD965B0">
            <w:pPr>
              <w:pStyle w:val="5"/>
              <w:pageBreakBefore w:val="0"/>
              <w:numPr>
                <w:ilvl w:val="0"/>
                <w:numId w:val="2"/>
              </w:numPr>
              <w:kinsoku/>
              <w:wordWrap/>
              <w:overflowPunct/>
              <w:topLinePunct w:val="0"/>
              <w:bidi w:val="0"/>
              <w:snapToGrid w:val="0"/>
              <w:spacing w:line="400" w:lineRule="exact"/>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具备住房城乡建设行政主管部门核发的有效的</w:t>
            </w:r>
            <w:r>
              <w:rPr>
                <w:rFonts w:hint="eastAsia" w:asciiTheme="minorEastAsia" w:hAnsiTheme="minorEastAsia" w:eastAsiaTheme="minorEastAsia" w:cstheme="minorEastAsia"/>
                <w:color w:val="auto"/>
                <w:sz w:val="24"/>
                <w:szCs w:val="24"/>
                <w:highlight w:val="none"/>
                <w:u w:val="single"/>
                <w:lang w:eastAsia="zh-CN"/>
              </w:rPr>
              <w:t>工程设计综合甲级资质或工程设计建筑行业设计乙级及以上资质或工程设计建筑行业（建筑工程）乙级及以上资质</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sz w:val="24"/>
                <w:szCs w:val="24"/>
                <w:highlight w:val="none"/>
              </w:rPr>
              <w:t>通过全国投资项目在线审批监管平台备案的工程咨询单位【电子、信息工程(含通信、广电、信息化)专业】</w:t>
            </w:r>
          </w:p>
          <w:p w14:paraId="1BF29C2A">
            <w:pPr>
              <w:pStyle w:val="5"/>
              <w:pageBreakBefore w:val="0"/>
              <w:numPr>
                <w:ilvl w:val="0"/>
                <w:numId w:val="2"/>
              </w:numPr>
              <w:kinsoku/>
              <w:wordWrap/>
              <w:overflowPunct/>
              <w:topLinePunct w:val="0"/>
              <w:bidi w:val="0"/>
              <w:snapToGrid w:val="0"/>
              <w:spacing w:line="400" w:lineRule="exact"/>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投标人拟派出担任本招标项目的设计负责人应具备有效的国家一级注册建筑师执业证书。</w:t>
            </w:r>
          </w:p>
          <w:p w14:paraId="37DA677F">
            <w:pPr>
              <w:pStyle w:val="5"/>
              <w:pageBreakBefore w:val="0"/>
              <w:numPr>
                <w:ilvl w:val="0"/>
                <w:numId w:val="2"/>
              </w:numPr>
              <w:kinsoku/>
              <w:wordWrap/>
              <w:overflowPunct/>
              <w:topLinePunct w:val="0"/>
              <w:bidi w:val="0"/>
              <w:snapToGrid w:val="0"/>
              <w:spacing w:line="400" w:lineRule="exact"/>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投标人及其拟派出担任本设计项目负责人均应具备1项类似项目设计业绩。 类似工程业绩是指（下同）：自本招标公告发布之日的前三年内（以合同签订日期为准，不含发布招标公告当日）完成设计的</w:t>
            </w:r>
            <w:r>
              <w:rPr>
                <w:rFonts w:hint="eastAsia" w:asciiTheme="minorEastAsia" w:hAnsiTheme="minorEastAsia" w:eastAsiaTheme="minorEastAsia" w:cstheme="minorEastAsia"/>
                <w:color w:val="auto"/>
                <w:sz w:val="24"/>
                <w:szCs w:val="24"/>
                <w:highlight w:val="none"/>
                <w:lang w:eastAsia="zh-CN"/>
              </w:rPr>
              <w:t>单项合同总建筑面积</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00平方米及以上或工程造价</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eastAsia="zh-CN"/>
              </w:rPr>
              <w:t>00万元及以上的</w:t>
            </w:r>
            <w:r>
              <w:rPr>
                <w:rFonts w:hint="eastAsia" w:asciiTheme="minorEastAsia" w:hAnsiTheme="minorEastAsia" w:eastAsiaTheme="minorEastAsia" w:cstheme="minorEastAsia"/>
                <w:color w:val="auto"/>
                <w:sz w:val="24"/>
                <w:szCs w:val="24"/>
                <w:highlight w:val="none"/>
                <w:lang w:val="en-US" w:eastAsia="zh-CN"/>
              </w:rPr>
              <w:t>实验室装修工程</w:t>
            </w:r>
            <w:r>
              <w:rPr>
                <w:rFonts w:hint="eastAsia" w:asciiTheme="minorEastAsia" w:hAnsiTheme="minorEastAsia" w:eastAsiaTheme="minorEastAsia" w:cstheme="minorEastAsia"/>
                <w:color w:val="auto"/>
                <w:sz w:val="24"/>
                <w:szCs w:val="24"/>
                <w:highlight w:val="none"/>
              </w:rPr>
              <w:t xml:space="preserve">； </w:t>
            </w:r>
          </w:p>
          <w:p w14:paraId="7B1B15C8">
            <w:pPr>
              <w:pStyle w:val="5"/>
              <w:pageBreakBefore w:val="0"/>
              <w:numPr>
                <w:ilvl w:val="0"/>
                <w:numId w:val="2"/>
              </w:numPr>
              <w:kinsoku/>
              <w:wordWrap/>
              <w:overflowPunct/>
              <w:topLinePunct w:val="0"/>
              <w:bidi w:val="0"/>
              <w:snapToGrid w:val="0"/>
              <w:spacing w:line="400" w:lineRule="exact"/>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投标人其他主要设计人员要求</w:t>
            </w:r>
            <w:r>
              <w:rPr>
                <w:rFonts w:hint="eastAsia" w:asciiTheme="minorEastAsia" w:hAnsiTheme="minorEastAsia" w:eastAsiaTheme="minorEastAsia" w:cstheme="minorEastAsia"/>
                <w:color w:val="auto"/>
                <w:sz w:val="24"/>
                <w:szCs w:val="24"/>
                <w:highlight w:val="none"/>
                <w:lang w:eastAsia="zh-CN"/>
              </w:rPr>
              <w:t>，以及</w:t>
            </w:r>
            <w:r>
              <w:rPr>
                <w:rFonts w:hint="eastAsia" w:asciiTheme="minorEastAsia" w:hAnsiTheme="minorEastAsia" w:eastAsiaTheme="minorEastAsia" w:cstheme="minorEastAsia"/>
                <w:color w:val="auto"/>
                <w:sz w:val="24"/>
                <w:szCs w:val="24"/>
                <w:highlight w:val="none"/>
              </w:rPr>
              <w:t>资格审查的其他条件要求的具体内容见招标文件；本招标项目招标人对投标人的资格审查采用资格后审的方式。</w:t>
            </w:r>
          </w:p>
          <w:p w14:paraId="59A45F06">
            <w:pPr>
              <w:pStyle w:val="5"/>
              <w:pageBreakBefore w:val="0"/>
              <w:numPr>
                <w:ilvl w:val="0"/>
                <w:numId w:val="2"/>
              </w:numPr>
              <w:kinsoku/>
              <w:wordWrap/>
              <w:overflowPunct/>
              <w:topLinePunct w:val="0"/>
              <w:bidi w:val="0"/>
              <w:snapToGrid w:val="0"/>
              <w:spacing w:line="400" w:lineRule="exact"/>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具备有效的</w:t>
            </w:r>
            <w:r>
              <w:rPr>
                <w:rFonts w:hint="eastAsia" w:asciiTheme="minorEastAsia" w:hAnsiTheme="minorEastAsia" w:eastAsiaTheme="minorEastAsia" w:cstheme="minorEastAsia"/>
                <w:color w:val="auto"/>
                <w:sz w:val="24"/>
                <w:szCs w:val="24"/>
                <w:highlight w:val="none"/>
                <w:u w:val="single"/>
              </w:rPr>
              <w:t>法人营业执照</w:t>
            </w:r>
            <w:r>
              <w:rPr>
                <w:rFonts w:hint="eastAsia" w:asciiTheme="minorEastAsia" w:hAnsiTheme="minorEastAsia" w:eastAsiaTheme="minorEastAsia" w:cstheme="minorEastAsia"/>
                <w:color w:val="auto"/>
                <w:sz w:val="24"/>
                <w:szCs w:val="24"/>
                <w:highlight w:val="none"/>
              </w:rPr>
              <w:t>；</w:t>
            </w:r>
          </w:p>
          <w:p w14:paraId="76D230A7">
            <w:pPr>
              <w:pStyle w:val="5"/>
              <w:pageBreakBefore w:val="0"/>
              <w:numPr>
                <w:ilvl w:val="0"/>
                <w:numId w:val="0"/>
              </w:numPr>
              <w:kinsoku/>
              <w:wordWrap/>
              <w:overflowPunct/>
              <w:topLinePunct w:val="0"/>
              <w:bidi w:val="0"/>
              <w:snapToGrid w:val="0"/>
              <w:spacing w:line="400" w:lineRule="exact"/>
              <w:ind w:left="510" w:firstLine="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设计人员要求：</w:t>
            </w:r>
          </w:p>
          <w:p w14:paraId="7E3F2B45">
            <w:pPr>
              <w:pStyle w:val="5"/>
              <w:pageBreakBefore w:val="0"/>
              <w:numPr>
                <w:ilvl w:val="0"/>
                <w:numId w:val="0"/>
              </w:numPr>
              <w:kinsoku/>
              <w:wordWrap/>
              <w:overflowPunct/>
              <w:topLinePunct w:val="0"/>
              <w:bidi w:val="0"/>
              <w:snapToGrid w:val="0"/>
              <w:spacing w:line="400" w:lineRule="exact"/>
              <w:ind w:left="0" w:leftChars="0" w:firstLine="720" w:firstLineChars="3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拟担任本项目的其他主要设计人员至少包括：建筑设计专业负责人1人，资格：</w:t>
            </w:r>
            <w:r>
              <w:rPr>
                <w:rFonts w:hint="eastAsia" w:asciiTheme="minorEastAsia" w:hAnsiTheme="minorEastAsia" w:eastAsiaTheme="minorEastAsia" w:cstheme="minorEastAsia"/>
                <w:color w:val="auto"/>
                <w:sz w:val="24"/>
                <w:szCs w:val="24"/>
                <w:highlight w:val="none"/>
                <w:u w:val="single"/>
              </w:rPr>
              <w:t>一级注册建筑师</w:t>
            </w:r>
            <w:r>
              <w:rPr>
                <w:rFonts w:hint="eastAsia" w:asciiTheme="minorEastAsia" w:hAnsiTheme="minorEastAsia" w:eastAsiaTheme="minorEastAsia" w:cstheme="minorEastAsia"/>
                <w:color w:val="auto"/>
                <w:sz w:val="24"/>
                <w:szCs w:val="24"/>
                <w:highlight w:val="none"/>
              </w:rPr>
              <w:t>；</w:t>
            </w:r>
          </w:p>
          <w:p w14:paraId="07A25294">
            <w:pPr>
              <w:pStyle w:val="5"/>
              <w:pageBreakBefore w:val="0"/>
              <w:numPr>
                <w:ilvl w:val="0"/>
                <w:numId w:val="0"/>
              </w:numPr>
              <w:kinsoku/>
              <w:wordWrap/>
              <w:overflowPunct/>
              <w:topLinePunct w:val="0"/>
              <w:bidi w:val="0"/>
              <w:snapToGrid w:val="0"/>
              <w:spacing w:line="400" w:lineRule="exact"/>
              <w:ind w:left="0" w:leftChars="0" w:firstLine="720" w:firstLineChars="300"/>
              <w:jc w:val="left"/>
              <w:textAlignment w:val="auto"/>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z w:val="24"/>
                <w:szCs w:val="24"/>
                <w:highlight w:val="none"/>
              </w:rPr>
              <w:t>结构设计专业负责人1人，资格：</w:t>
            </w:r>
            <w:r>
              <w:rPr>
                <w:rFonts w:hint="eastAsia" w:asciiTheme="minorEastAsia" w:hAnsiTheme="minorEastAsia" w:eastAsiaTheme="minorEastAsia" w:cstheme="minorEastAsia"/>
                <w:color w:val="auto"/>
                <w:sz w:val="24"/>
                <w:szCs w:val="24"/>
                <w:highlight w:val="none"/>
                <w:u w:val="single"/>
              </w:rPr>
              <w:t>一级注册</w:t>
            </w:r>
            <w:r>
              <w:rPr>
                <w:rFonts w:hint="eastAsia" w:asciiTheme="minorEastAsia" w:hAnsiTheme="minorEastAsia" w:eastAsiaTheme="minorEastAsia" w:cstheme="minorEastAsia"/>
                <w:color w:val="auto"/>
                <w:sz w:val="24"/>
                <w:szCs w:val="24"/>
                <w:highlight w:val="none"/>
                <w:u w:val="single"/>
                <w:lang w:val="en-US" w:eastAsia="zh-CN"/>
              </w:rPr>
              <w:t>结构工程师</w:t>
            </w:r>
            <w:r>
              <w:rPr>
                <w:rFonts w:hint="eastAsia" w:asciiTheme="minorEastAsia" w:hAnsiTheme="minorEastAsia" w:eastAsiaTheme="minorEastAsia" w:cstheme="minorEastAsia"/>
                <w:color w:val="auto"/>
                <w:sz w:val="24"/>
                <w:szCs w:val="24"/>
                <w:highlight w:val="none"/>
                <w:u w:val="single"/>
                <w:lang w:eastAsia="zh-CN"/>
              </w:rPr>
              <w:t>；</w:t>
            </w:r>
          </w:p>
          <w:p w14:paraId="6BA0A32A">
            <w:pPr>
              <w:pStyle w:val="5"/>
              <w:pageBreakBefore w:val="0"/>
              <w:numPr>
                <w:ilvl w:val="0"/>
                <w:numId w:val="0"/>
              </w:numPr>
              <w:kinsoku/>
              <w:wordWrap/>
              <w:overflowPunct/>
              <w:topLinePunct w:val="0"/>
              <w:bidi w:val="0"/>
              <w:snapToGrid w:val="0"/>
              <w:spacing w:line="400" w:lineRule="exact"/>
              <w:ind w:left="0" w:leftChars="0" w:firstLine="720" w:firstLineChars="3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暖通</w:t>
            </w:r>
            <w:r>
              <w:rPr>
                <w:rFonts w:hint="eastAsia" w:asciiTheme="minorEastAsia" w:hAnsiTheme="minorEastAsia" w:eastAsiaTheme="minorEastAsia" w:cstheme="minorEastAsia"/>
                <w:color w:val="auto"/>
                <w:sz w:val="24"/>
                <w:szCs w:val="24"/>
                <w:highlight w:val="none"/>
              </w:rPr>
              <w:t>专业负责人1人，资格：</w:t>
            </w:r>
            <w:r>
              <w:rPr>
                <w:rFonts w:hint="eastAsia" w:asciiTheme="minorEastAsia" w:hAnsiTheme="minorEastAsia" w:eastAsiaTheme="minorEastAsia" w:cstheme="minorEastAsia"/>
                <w:color w:val="auto"/>
                <w:sz w:val="24"/>
                <w:szCs w:val="24"/>
                <w:highlight w:val="none"/>
                <w:u w:val="single"/>
                <w:lang w:val="en-US" w:eastAsia="zh-CN"/>
              </w:rPr>
              <w:t>工程师及以上技术职称或具备与设计专业相适应的注册执业资格</w:t>
            </w:r>
            <w:r>
              <w:rPr>
                <w:rFonts w:hint="eastAsia" w:asciiTheme="minorEastAsia" w:hAnsiTheme="minorEastAsia" w:eastAsiaTheme="minorEastAsia" w:cstheme="minorEastAsia"/>
                <w:color w:val="auto"/>
                <w:sz w:val="24"/>
                <w:szCs w:val="24"/>
                <w:highlight w:val="none"/>
              </w:rPr>
              <w:t>；</w:t>
            </w:r>
          </w:p>
          <w:p w14:paraId="613277F0">
            <w:pPr>
              <w:pStyle w:val="5"/>
              <w:pageBreakBefore w:val="0"/>
              <w:numPr>
                <w:ilvl w:val="0"/>
                <w:numId w:val="0"/>
              </w:numPr>
              <w:kinsoku/>
              <w:wordWrap/>
              <w:overflowPunct/>
              <w:topLinePunct w:val="0"/>
              <w:bidi w:val="0"/>
              <w:snapToGrid w:val="0"/>
              <w:spacing w:line="400" w:lineRule="exact"/>
              <w:ind w:left="0" w:leftChars="0" w:firstLine="720" w:firstLineChars="3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智能化设备</w:t>
            </w:r>
            <w:r>
              <w:rPr>
                <w:rFonts w:hint="eastAsia" w:asciiTheme="minorEastAsia" w:hAnsiTheme="minorEastAsia" w:eastAsiaTheme="minorEastAsia" w:cstheme="minorEastAsia"/>
                <w:color w:val="auto"/>
                <w:sz w:val="24"/>
                <w:szCs w:val="24"/>
                <w:highlight w:val="none"/>
              </w:rPr>
              <w:t>专业负责人1人，资格：</w:t>
            </w:r>
            <w:r>
              <w:rPr>
                <w:rFonts w:hint="eastAsia" w:asciiTheme="minorEastAsia" w:hAnsiTheme="minorEastAsia" w:eastAsiaTheme="minorEastAsia" w:cstheme="minorEastAsia"/>
                <w:color w:val="auto"/>
                <w:sz w:val="24"/>
                <w:szCs w:val="24"/>
                <w:highlight w:val="none"/>
                <w:u w:val="single"/>
                <w:lang w:val="en-US" w:eastAsia="zh-CN"/>
              </w:rPr>
              <w:t>工程师及以上技术职称或具备与设计专业相适应的注册执业资格</w:t>
            </w:r>
            <w:r>
              <w:rPr>
                <w:rFonts w:hint="eastAsia" w:asciiTheme="minorEastAsia" w:hAnsiTheme="minorEastAsia" w:eastAsiaTheme="minorEastAsia" w:cstheme="minorEastAsia"/>
                <w:color w:val="auto"/>
                <w:sz w:val="24"/>
                <w:szCs w:val="24"/>
                <w:highlight w:val="none"/>
              </w:rPr>
              <w:t>；</w:t>
            </w:r>
          </w:p>
          <w:p w14:paraId="4CAA1A1D">
            <w:pPr>
              <w:pStyle w:val="5"/>
              <w:pageBreakBefore w:val="0"/>
              <w:numPr>
                <w:ilvl w:val="0"/>
                <w:numId w:val="0"/>
              </w:numPr>
              <w:kinsoku/>
              <w:wordWrap/>
              <w:overflowPunct/>
              <w:topLinePunct w:val="0"/>
              <w:bidi w:val="0"/>
              <w:snapToGrid w:val="0"/>
              <w:spacing w:line="400" w:lineRule="exact"/>
              <w:ind w:left="0" w:leftChars="0" w:firstLine="720" w:firstLineChars="30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造价编制负责人1人，职称：</w:t>
            </w:r>
            <w:r>
              <w:rPr>
                <w:rFonts w:hint="eastAsia" w:asciiTheme="minorEastAsia" w:hAnsiTheme="minorEastAsia" w:eastAsiaTheme="minorEastAsia" w:cstheme="minorEastAsia"/>
                <w:color w:val="auto"/>
                <w:sz w:val="24"/>
                <w:szCs w:val="24"/>
                <w:highlight w:val="none"/>
                <w:u w:val="single"/>
                <w:lang w:val="en-US" w:eastAsia="zh-CN"/>
              </w:rPr>
              <w:t>具备注册造价工程师执业证书（可以外聘，须附上外聘委托协议书）</w:t>
            </w:r>
            <w:r>
              <w:rPr>
                <w:rFonts w:hint="eastAsia" w:asciiTheme="minorEastAsia" w:hAnsiTheme="minorEastAsia" w:eastAsiaTheme="minorEastAsia" w:cstheme="minorEastAsia"/>
                <w:color w:val="auto"/>
                <w:sz w:val="24"/>
                <w:szCs w:val="24"/>
                <w:highlight w:val="none"/>
              </w:rPr>
              <w:t>；</w:t>
            </w:r>
          </w:p>
          <w:p w14:paraId="7407E91D">
            <w:pPr>
              <w:pStyle w:val="5"/>
              <w:pageBreakBefore w:val="0"/>
              <w:tabs>
                <w:tab w:val="left" w:pos="510"/>
              </w:tabs>
              <w:kinsoku/>
              <w:wordWrap/>
              <w:overflowPunct/>
              <w:topLinePunct w:val="0"/>
              <w:bidi w:val="0"/>
              <w:snapToGrid w:val="0"/>
              <w:spacing w:line="4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u w:val="single"/>
                <w:lang w:val="en-US"/>
              </w:rPr>
            </w:pPr>
            <w:r>
              <w:rPr>
                <w:rFonts w:hint="eastAsia" w:asciiTheme="minorEastAsia" w:hAnsiTheme="minorEastAsia" w:eastAsiaTheme="minorEastAsia" w:cstheme="minorEastAsia"/>
                <w:color w:val="auto"/>
                <w:sz w:val="24"/>
                <w:szCs w:val="24"/>
                <w:highlight w:val="none"/>
              </w:rPr>
              <w:t>信用要求：</w:t>
            </w:r>
            <w:r>
              <w:rPr>
                <w:rFonts w:hint="eastAsia" w:asciiTheme="minorEastAsia" w:hAnsiTheme="minorEastAsia" w:eastAsiaTheme="minorEastAsia" w:cstheme="minorEastAsia"/>
                <w:color w:val="auto"/>
                <w:sz w:val="24"/>
                <w:szCs w:val="24"/>
                <w:highlight w:val="none"/>
                <w:u w:val="single"/>
                <w:lang w:val="en-US"/>
              </w:rPr>
              <w:t>/</w:t>
            </w:r>
          </w:p>
          <w:p w14:paraId="015BBA64">
            <w:pPr>
              <w:pStyle w:val="5"/>
              <w:pageBreakBefore w:val="0"/>
              <w:tabs>
                <w:tab w:val="left" w:pos="510"/>
              </w:tabs>
              <w:kinsoku/>
              <w:wordWrap/>
              <w:overflowPunct/>
              <w:topLinePunct w:val="0"/>
              <w:bidi w:val="0"/>
              <w:snapToGrid w:val="0"/>
              <w:spacing w:line="400" w:lineRule="exact"/>
              <w:ind w:firstLine="480" w:firstLineChars="20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u w:val="double"/>
              </w:rPr>
              <w:t>投标人应当按第7章投标文件格式之“资格审查文件”规定的格式和内容要求提交有关资料</w:t>
            </w:r>
            <w:r>
              <w:rPr>
                <w:rFonts w:hint="eastAsia" w:asciiTheme="minorEastAsia" w:hAnsiTheme="minorEastAsia" w:eastAsiaTheme="minorEastAsia" w:cstheme="minorEastAsia"/>
                <w:color w:val="auto"/>
                <w:sz w:val="24"/>
                <w:szCs w:val="24"/>
                <w:highlight w:val="none"/>
              </w:rPr>
              <w:t>。</w:t>
            </w:r>
          </w:p>
        </w:tc>
      </w:tr>
      <w:tr w14:paraId="7B1F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00" w:type="dxa"/>
            <w:tcBorders>
              <w:left w:val="single" w:color="auto" w:sz="8" w:space="0"/>
            </w:tcBorders>
            <w:noWrap w:val="0"/>
            <w:vAlign w:val="center"/>
          </w:tcPr>
          <w:p w14:paraId="51DA0C65">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7D0224DF">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5.1</w:t>
            </w:r>
          </w:p>
        </w:tc>
        <w:tc>
          <w:tcPr>
            <w:tcW w:w="1300" w:type="dxa"/>
            <w:tcBorders>
              <w:right w:val="single" w:color="auto" w:sz="4" w:space="0"/>
            </w:tcBorders>
            <w:noWrap w:val="0"/>
            <w:vAlign w:val="center"/>
          </w:tcPr>
          <w:p w14:paraId="4CCDEDB0">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踏勘现场和标前会时间地点</w:t>
            </w:r>
          </w:p>
        </w:tc>
        <w:tc>
          <w:tcPr>
            <w:tcW w:w="6300" w:type="dxa"/>
            <w:tcBorders>
              <w:left w:val="single" w:color="auto" w:sz="4" w:space="0"/>
              <w:right w:val="single" w:color="auto" w:sz="8" w:space="0"/>
            </w:tcBorders>
            <w:noWrap w:val="0"/>
            <w:vAlign w:val="center"/>
          </w:tcPr>
          <w:p w14:paraId="2A3546CD">
            <w:pPr>
              <w:pStyle w:val="5"/>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（1）踏勘现场：</w:t>
            </w:r>
            <w:r>
              <w:rPr>
                <w:rFonts w:hint="eastAsia" w:asciiTheme="minorEastAsia" w:hAnsiTheme="minorEastAsia" w:eastAsiaTheme="minorEastAsia" w:cstheme="minorEastAsia"/>
                <w:color w:val="auto"/>
                <w:sz w:val="24"/>
                <w:szCs w:val="24"/>
                <w:highlight w:val="none"/>
                <w:u w:val="single"/>
              </w:rPr>
              <w:t>不组织</w:t>
            </w:r>
            <w:r>
              <w:rPr>
                <w:rFonts w:hint="eastAsia" w:asciiTheme="minorEastAsia" w:hAnsiTheme="minorEastAsia" w:eastAsiaTheme="minorEastAsia" w:cstheme="minorEastAsia"/>
                <w:color w:val="auto"/>
                <w:sz w:val="24"/>
                <w:szCs w:val="24"/>
                <w:highlight w:val="none"/>
                <w:u w:val="none"/>
                <w:lang w:eastAsia="zh-CN"/>
              </w:rPr>
              <w:t>；</w:t>
            </w:r>
          </w:p>
          <w:p w14:paraId="1BBF101B">
            <w:pPr>
              <w:pStyle w:val="5"/>
              <w:pageBreakBefore w:val="0"/>
              <w:kinsoku/>
              <w:wordWrap/>
              <w:overflowPunct/>
              <w:topLinePunct w:val="0"/>
              <w:bidi w:val="0"/>
              <w:spacing w:line="400" w:lineRule="exact"/>
              <w:textAlignment w:val="auto"/>
              <w:rPr>
                <w:rFonts w:hint="eastAsia" w:asciiTheme="minorEastAsia" w:hAnsiTheme="minorEastAsia" w:eastAsiaTheme="minorEastAsia" w:cstheme="minorEastAsia"/>
                <w:b/>
                <w:i/>
                <w:color w:val="auto"/>
                <w:sz w:val="24"/>
                <w:szCs w:val="24"/>
                <w:highlight w:val="none"/>
              </w:rPr>
            </w:pPr>
            <w:r>
              <w:rPr>
                <w:rFonts w:hint="eastAsia" w:asciiTheme="minorEastAsia" w:hAnsiTheme="minorEastAsia" w:eastAsiaTheme="minorEastAsia" w:cstheme="minorEastAsia"/>
                <w:color w:val="auto"/>
                <w:sz w:val="24"/>
                <w:szCs w:val="24"/>
                <w:highlight w:val="none"/>
              </w:rPr>
              <w:t>（2）标前会议：</w:t>
            </w:r>
            <w:r>
              <w:rPr>
                <w:rFonts w:hint="eastAsia" w:asciiTheme="minorEastAsia" w:hAnsiTheme="minorEastAsia" w:eastAsiaTheme="minorEastAsia" w:cstheme="minorEastAsia"/>
                <w:color w:val="auto"/>
                <w:sz w:val="24"/>
                <w:szCs w:val="24"/>
                <w:highlight w:val="none"/>
                <w:u w:val="single"/>
              </w:rPr>
              <w:t>不组织</w:t>
            </w:r>
            <w:r>
              <w:rPr>
                <w:rFonts w:hint="eastAsia" w:asciiTheme="minorEastAsia" w:hAnsiTheme="minorEastAsia" w:eastAsiaTheme="minorEastAsia" w:cstheme="minorEastAsia"/>
                <w:color w:val="auto"/>
                <w:sz w:val="24"/>
                <w:szCs w:val="24"/>
                <w:highlight w:val="none"/>
              </w:rPr>
              <w:t>。</w:t>
            </w:r>
          </w:p>
        </w:tc>
      </w:tr>
      <w:tr w14:paraId="3DCC1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600" w:type="dxa"/>
            <w:tcBorders>
              <w:left w:val="single" w:color="auto" w:sz="8" w:space="0"/>
            </w:tcBorders>
            <w:noWrap w:val="0"/>
            <w:vAlign w:val="center"/>
          </w:tcPr>
          <w:p w14:paraId="7AC990D8">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4A9BB592">
            <w:pPr>
              <w:pStyle w:val="5"/>
              <w:pageBreakBefore w:val="0"/>
              <w:kinsoku/>
              <w:wordWrap/>
              <w:overflowPunct/>
              <w:topLinePunct w:val="0"/>
              <w:bidi w:val="0"/>
              <w:snapToGrid w:val="0"/>
              <w:spacing w:line="400" w:lineRule="exact"/>
              <w:ind w:firstLine="0" w:firstLineChars="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8.1</w:t>
            </w:r>
          </w:p>
        </w:tc>
        <w:tc>
          <w:tcPr>
            <w:tcW w:w="1300" w:type="dxa"/>
            <w:tcBorders>
              <w:right w:val="single" w:color="auto" w:sz="4" w:space="0"/>
            </w:tcBorders>
            <w:noWrap w:val="0"/>
            <w:vAlign w:val="center"/>
          </w:tcPr>
          <w:p w14:paraId="2105DFC7">
            <w:pPr>
              <w:pStyle w:val="5"/>
              <w:pageBreakBefore w:val="0"/>
              <w:kinsoku/>
              <w:wordWrap/>
              <w:overflowPunct/>
              <w:topLinePunct w:val="0"/>
              <w:bidi w:val="0"/>
              <w:snapToGrid w:val="0"/>
              <w:spacing w:line="400" w:lineRule="exact"/>
              <w:ind w:firstLine="0" w:firstLineChars="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招标文件的澄清</w:t>
            </w:r>
          </w:p>
        </w:tc>
        <w:tc>
          <w:tcPr>
            <w:tcW w:w="6300" w:type="dxa"/>
            <w:tcBorders>
              <w:left w:val="single" w:color="auto" w:sz="4" w:space="0"/>
              <w:right w:val="single" w:color="auto" w:sz="8" w:space="0"/>
            </w:tcBorders>
            <w:noWrap w:val="0"/>
            <w:vAlign w:val="center"/>
          </w:tcPr>
          <w:p w14:paraId="102C4F77">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要求澄清的截止时间：</w:t>
            </w:r>
            <w:r>
              <w:rPr>
                <w:rFonts w:hint="eastAsia" w:asciiTheme="minorEastAsia" w:hAnsiTheme="minorEastAsia" w:eastAsiaTheme="minorEastAsia" w:cstheme="minorEastAsia"/>
                <w:color w:val="auto"/>
                <w:sz w:val="24"/>
                <w:szCs w:val="24"/>
                <w:highlight w:val="none"/>
                <w:lang w:val="en-US" w:eastAsia="zh-CN"/>
              </w:rPr>
              <w:t>2025</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日 12时00分（北京时间）之前。</w:t>
            </w:r>
          </w:p>
          <w:p w14:paraId="7AC23304">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招标人发送澄清的方式：</w:t>
            </w:r>
          </w:p>
        </w:tc>
      </w:tr>
      <w:tr w14:paraId="0098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00" w:type="dxa"/>
            <w:tcBorders>
              <w:left w:val="single" w:color="auto" w:sz="8" w:space="0"/>
            </w:tcBorders>
            <w:noWrap w:val="0"/>
            <w:vAlign w:val="center"/>
          </w:tcPr>
          <w:p w14:paraId="21F32E87">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0BB6D403">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12.3.3</w:t>
            </w:r>
          </w:p>
        </w:tc>
        <w:tc>
          <w:tcPr>
            <w:tcW w:w="1300" w:type="dxa"/>
            <w:tcBorders>
              <w:right w:val="single" w:color="auto" w:sz="4" w:space="0"/>
            </w:tcBorders>
            <w:noWrap w:val="0"/>
            <w:vAlign w:val="center"/>
          </w:tcPr>
          <w:p w14:paraId="59A82638">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是否要求提交电子文档、演示盘和模型</w:t>
            </w:r>
          </w:p>
        </w:tc>
        <w:tc>
          <w:tcPr>
            <w:tcW w:w="6300" w:type="dxa"/>
            <w:tcBorders>
              <w:left w:val="single" w:color="auto" w:sz="4" w:space="0"/>
              <w:right w:val="single" w:color="auto" w:sz="8" w:space="0"/>
            </w:tcBorders>
            <w:noWrap w:val="0"/>
            <w:vAlign w:val="center"/>
          </w:tcPr>
          <w:p w14:paraId="3D3FE82C">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计算机文件：</w:t>
            </w:r>
            <w:r>
              <w:rPr>
                <w:rFonts w:hint="eastAsia" w:asciiTheme="minorEastAsia" w:hAnsiTheme="minorEastAsia" w:eastAsiaTheme="minorEastAsia" w:cstheme="minorEastAsia"/>
                <w:color w:val="auto"/>
                <w:sz w:val="24"/>
                <w:szCs w:val="24"/>
                <w:highlight w:val="none"/>
                <w:u w:val="single"/>
              </w:rPr>
              <w:t>不要求</w:t>
            </w:r>
            <w:r>
              <w:rPr>
                <w:rFonts w:hint="eastAsia" w:asciiTheme="minorEastAsia" w:hAnsiTheme="minorEastAsia" w:eastAsiaTheme="minorEastAsia" w:cstheme="minorEastAsia"/>
                <w:color w:val="auto"/>
                <w:sz w:val="24"/>
                <w:szCs w:val="24"/>
                <w:highlight w:val="none"/>
              </w:rPr>
              <w:t>提交</w:t>
            </w:r>
          </w:p>
          <w:p w14:paraId="1D983B6B">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展示图：</w:t>
            </w:r>
            <w:r>
              <w:rPr>
                <w:rFonts w:hint="eastAsia" w:asciiTheme="minorEastAsia" w:hAnsiTheme="minorEastAsia" w:eastAsiaTheme="minorEastAsia" w:cstheme="minorEastAsia"/>
                <w:color w:val="auto"/>
                <w:sz w:val="24"/>
                <w:szCs w:val="24"/>
                <w:highlight w:val="none"/>
                <w:u w:val="single"/>
              </w:rPr>
              <w:t>不要求</w:t>
            </w:r>
            <w:r>
              <w:rPr>
                <w:rFonts w:hint="eastAsia" w:asciiTheme="minorEastAsia" w:hAnsiTheme="minorEastAsia" w:eastAsiaTheme="minorEastAsia" w:cstheme="minorEastAsia"/>
                <w:color w:val="auto"/>
                <w:sz w:val="24"/>
                <w:szCs w:val="24"/>
                <w:highlight w:val="none"/>
              </w:rPr>
              <w:t>提交</w:t>
            </w:r>
          </w:p>
          <w:p w14:paraId="1DEE6372">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演示盘：</w:t>
            </w:r>
            <w:r>
              <w:rPr>
                <w:rFonts w:hint="eastAsia" w:asciiTheme="minorEastAsia" w:hAnsiTheme="minorEastAsia" w:eastAsiaTheme="minorEastAsia" w:cstheme="minorEastAsia"/>
                <w:color w:val="auto"/>
                <w:sz w:val="24"/>
                <w:szCs w:val="24"/>
                <w:highlight w:val="none"/>
                <w:u w:val="single"/>
              </w:rPr>
              <w:t>不要求</w:t>
            </w:r>
            <w:r>
              <w:rPr>
                <w:rFonts w:hint="eastAsia" w:asciiTheme="minorEastAsia" w:hAnsiTheme="minorEastAsia" w:eastAsiaTheme="minorEastAsia" w:cstheme="minorEastAsia"/>
                <w:color w:val="auto"/>
                <w:sz w:val="24"/>
                <w:szCs w:val="24"/>
                <w:highlight w:val="none"/>
              </w:rPr>
              <w:t>提交</w:t>
            </w:r>
          </w:p>
          <w:p w14:paraId="544C3CF2">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模型：</w:t>
            </w:r>
            <w:r>
              <w:rPr>
                <w:rFonts w:hint="eastAsia" w:asciiTheme="minorEastAsia" w:hAnsiTheme="minorEastAsia" w:eastAsiaTheme="minorEastAsia" w:cstheme="minorEastAsia"/>
                <w:color w:val="auto"/>
                <w:sz w:val="24"/>
                <w:szCs w:val="24"/>
                <w:highlight w:val="none"/>
                <w:u w:val="single"/>
              </w:rPr>
              <w:t>不要求</w:t>
            </w:r>
            <w:r>
              <w:rPr>
                <w:rFonts w:hint="eastAsia" w:asciiTheme="minorEastAsia" w:hAnsiTheme="minorEastAsia" w:eastAsiaTheme="minorEastAsia" w:cstheme="minorEastAsia"/>
                <w:color w:val="auto"/>
                <w:sz w:val="24"/>
                <w:szCs w:val="24"/>
                <w:highlight w:val="none"/>
              </w:rPr>
              <w:t>提交</w:t>
            </w:r>
          </w:p>
        </w:tc>
      </w:tr>
      <w:tr w14:paraId="54AC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00" w:type="dxa"/>
            <w:tcBorders>
              <w:left w:val="single" w:color="auto" w:sz="8" w:space="0"/>
            </w:tcBorders>
            <w:noWrap w:val="0"/>
            <w:vAlign w:val="center"/>
          </w:tcPr>
          <w:p w14:paraId="1D621955">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5447895F">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13.7</w:t>
            </w:r>
          </w:p>
        </w:tc>
        <w:tc>
          <w:tcPr>
            <w:tcW w:w="1300" w:type="dxa"/>
            <w:tcBorders>
              <w:right w:val="single" w:color="auto" w:sz="4" w:space="0"/>
            </w:tcBorders>
            <w:noWrap w:val="0"/>
            <w:vAlign w:val="center"/>
          </w:tcPr>
          <w:p w14:paraId="398A2F07">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备选方案</w:t>
            </w:r>
          </w:p>
        </w:tc>
        <w:tc>
          <w:tcPr>
            <w:tcW w:w="6300" w:type="dxa"/>
            <w:tcBorders>
              <w:left w:val="single" w:color="auto" w:sz="4" w:space="0"/>
              <w:right w:val="single" w:color="auto" w:sz="8" w:space="0"/>
            </w:tcBorders>
            <w:noWrap w:val="0"/>
            <w:vAlign w:val="center"/>
          </w:tcPr>
          <w:p w14:paraId="516774FD">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u w:val="single"/>
              </w:rPr>
              <w:t>不允许</w:t>
            </w:r>
            <w:r>
              <w:rPr>
                <w:rFonts w:hint="eastAsia" w:asciiTheme="minorEastAsia" w:hAnsiTheme="minorEastAsia" w:eastAsiaTheme="minorEastAsia" w:cstheme="minorEastAsia"/>
                <w:color w:val="auto"/>
                <w:sz w:val="24"/>
                <w:szCs w:val="24"/>
                <w:highlight w:val="none"/>
              </w:rPr>
              <w:t>提交备选方案</w:t>
            </w:r>
          </w:p>
        </w:tc>
      </w:tr>
      <w:tr w14:paraId="7479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00" w:type="dxa"/>
            <w:tcBorders>
              <w:left w:val="single" w:color="auto" w:sz="8" w:space="0"/>
            </w:tcBorders>
            <w:noWrap w:val="0"/>
            <w:vAlign w:val="center"/>
          </w:tcPr>
          <w:p w14:paraId="4F337B93">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75B38995">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14.3、14.5</w:t>
            </w:r>
          </w:p>
        </w:tc>
        <w:tc>
          <w:tcPr>
            <w:tcW w:w="1300" w:type="dxa"/>
            <w:tcBorders>
              <w:right w:val="single" w:color="auto" w:sz="4" w:space="0"/>
            </w:tcBorders>
            <w:noWrap w:val="0"/>
            <w:vAlign w:val="center"/>
          </w:tcPr>
          <w:p w14:paraId="310B276A">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设计费金额和计算办法</w:t>
            </w:r>
          </w:p>
        </w:tc>
        <w:tc>
          <w:tcPr>
            <w:tcW w:w="6300" w:type="dxa"/>
            <w:tcBorders>
              <w:left w:val="single" w:color="auto" w:sz="4" w:space="0"/>
              <w:right w:val="single" w:color="auto" w:sz="8" w:space="0"/>
            </w:tcBorders>
            <w:noWrap w:val="0"/>
            <w:vAlign w:val="center"/>
          </w:tcPr>
          <w:p w14:paraId="04F0E312">
            <w:pPr>
              <w:pageBreakBefore w:val="0"/>
              <w:widowControl/>
              <w:numPr>
                <w:ilvl w:val="0"/>
                <w:numId w:val="0"/>
              </w:numPr>
              <w:tabs>
                <w:tab w:val="left" w:pos="900"/>
                <w:tab w:val="left" w:pos="1100"/>
              </w:tabs>
              <w:kinsoku/>
              <w:wordWrap/>
              <w:overflowPunct/>
              <w:topLinePunct w:val="0"/>
              <w:bidi w:val="0"/>
              <w:adjustRightInd/>
              <w:spacing w:line="400" w:lineRule="exact"/>
              <w:jc w:val="left"/>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1、基建提升专项：</w:t>
            </w:r>
          </w:p>
          <w:p w14:paraId="78324F92">
            <w:pPr>
              <w:pageBreakBefore w:val="0"/>
              <w:widowControl/>
              <w:numPr>
                <w:ilvl w:val="0"/>
                <w:numId w:val="0"/>
              </w:numPr>
              <w:tabs>
                <w:tab w:val="left" w:pos="900"/>
                <w:tab w:val="left" w:pos="1100"/>
              </w:tabs>
              <w:kinsoku/>
              <w:wordWrap/>
              <w:overflowPunct/>
              <w:topLinePunct w:val="0"/>
              <w:bidi w:val="0"/>
              <w:adjustRightInd/>
              <w:spacing w:line="40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招标人公布设计项目的工程设计收费计费额（即招标时的设计费计费基数）为</w:t>
            </w:r>
            <w:r>
              <w:rPr>
                <w:rFonts w:hint="eastAsia" w:asciiTheme="minorEastAsia" w:hAnsiTheme="minorEastAsia" w:eastAsiaTheme="minorEastAsia" w:cstheme="minorEastAsia"/>
                <w:color w:val="auto"/>
                <w:sz w:val="24"/>
                <w:szCs w:val="24"/>
                <w:highlight w:val="none"/>
                <w:u w:val="single"/>
                <w:lang w:val="en-US" w:eastAsia="zh-CN"/>
              </w:rPr>
              <w:t>669.31</w:t>
            </w:r>
            <w:r>
              <w:rPr>
                <w:rFonts w:hint="eastAsia" w:asciiTheme="minorEastAsia" w:hAnsiTheme="minorEastAsia" w:eastAsiaTheme="minorEastAsia" w:cstheme="minorEastAsia"/>
                <w:color w:val="auto"/>
                <w:sz w:val="24"/>
                <w:szCs w:val="24"/>
                <w:highlight w:val="none"/>
                <w:lang w:val="en-US" w:eastAsia="zh-CN"/>
              </w:rPr>
              <w:t>万</w:t>
            </w:r>
            <w:r>
              <w:rPr>
                <w:rFonts w:hint="eastAsia" w:asciiTheme="minorEastAsia" w:hAnsiTheme="minorEastAsia" w:eastAsiaTheme="minorEastAsia" w:cstheme="minorEastAsia"/>
                <w:color w:val="auto"/>
                <w:sz w:val="24"/>
                <w:szCs w:val="24"/>
                <w:highlight w:val="none"/>
              </w:rPr>
              <w:t>元，估算的工程设计收费金额为</w:t>
            </w:r>
            <w:r>
              <w:rPr>
                <w:rFonts w:hint="eastAsia" w:asciiTheme="minorEastAsia" w:hAnsiTheme="minorEastAsia" w:eastAsiaTheme="minorEastAsia" w:cstheme="minorEastAsia"/>
                <w:color w:val="auto"/>
                <w:sz w:val="24"/>
                <w:szCs w:val="24"/>
                <w:highlight w:val="none"/>
                <w:u w:val="single"/>
                <w:lang w:val="en-US" w:eastAsia="zh-CN"/>
              </w:rPr>
              <w:t>14.15</w:t>
            </w:r>
            <w:r>
              <w:rPr>
                <w:rFonts w:hint="eastAsia" w:asciiTheme="minorEastAsia" w:hAnsiTheme="minorEastAsia" w:eastAsiaTheme="minorEastAsia" w:cstheme="minorEastAsia"/>
                <w:color w:val="auto"/>
                <w:sz w:val="24"/>
                <w:szCs w:val="24"/>
                <w:highlight w:val="none"/>
                <w:u w:val="single"/>
                <w:lang w:val="en-US"/>
              </w:rPr>
              <w:t xml:space="preserve"> </w:t>
            </w:r>
            <w:r>
              <w:rPr>
                <w:rFonts w:hint="eastAsia" w:asciiTheme="minorEastAsia" w:hAnsiTheme="minorEastAsia" w:eastAsiaTheme="minorEastAsia" w:cstheme="minorEastAsia"/>
                <w:color w:val="auto"/>
                <w:sz w:val="24"/>
                <w:szCs w:val="24"/>
                <w:highlight w:val="none"/>
                <w:lang w:val="en-US" w:eastAsia="zh-CN"/>
              </w:rPr>
              <w:t>万元</w:t>
            </w:r>
            <w:r>
              <w:rPr>
                <w:rFonts w:hint="eastAsia" w:asciiTheme="minorEastAsia" w:hAnsiTheme="minorEastAsia" w:eastAsiaTheme="minorEastAsia" w:cstheme="minorEastAsia"/>
                <w:color w:val="auto"/>
                <w:sz w:val="24"/>
                <w:szCs w:val="24"/>
                <w:highlight w:val="none"/>
              </w:rPr>
              <w:t>，其工程设计收费基准价、浮动幅度值和计算办法如下：</w:t>
            </w:r>
          </w:p>
          <w:p w14:paraId="328BAF44">
            <w:pPr>
              <w:pageBreakBefore w:val="0"/>
              <w:widowControl/>
              <w:tabs>
                <w:tab w:val="left" w:pos="900"/>
                <w:tab w:val="left" w:pos="1100"/>
              </w:tabs>
              <w:kinsoku/>
              <w:wordWrap/>
              <w:overflowPunct/>
              <w:topLinePunct w:val="0"/>
              <w:bidi w:val="0"/>
              <w:adjustRightInd/>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（1）工程设计收费基准价：</w:t>
            </w:r>
            <w:r>
              <w:rPr>
                <w:rFonts w:hint="eastAsia" w:asciiTheme="minorEastAsia" w:hAnsiTheme="minorEastAsia" w:eastAsiaTheme="minorEastAsia" w:cstheme="minorEastAsia"/>
                <w:color w:val="auto"/>
                <w:sz w:val="24"/>
                <w:szCs w:val="24"/>
                <w:highlight w:val="none"/>
                <w:u w:val="single"/>
                <w:lang w:val="en-US" w:eastAsia="zh-CN"/>
              </w:rPr>
              <w:t>20.22万元</w:t>
            </w:r>
            <w:r>
              <w:rPr>
                <w:rFonts w:hint="eastAsia" w:asciiTheme="minorEastAsia" w:hAnsiTheme="minorEastAsia" w:eastAsiaTheme="minorEastAsia" w:cstheme="minorEastAsia"/>
                <w:color w:val="auto"/>
                <w:sz w:val="24"/>
                <w:szCs w:val="24"/>
                <w:highlight w:val="none"/>
              </w:rPr>
              <w:t>，浮动幅度值：</w:t>
            </w:r>
            <w:r>
              <w:rPr>
                <w:rFonts w:hint="eastAsia" w:asciiTheme="minorEastAsia" w:hAnsiTheme="minorEastAsia" w:eastAsiaTheme="minorEastAsia" w:cstheme="minorEastAsia"/>
                <w:color w:val="auto"/>
                <w:sz w:val="24"/>
                <w:szCs w:val="24"/>
                <w:highlight w:val="none"/>
                <w:lang w:eastAsia="zh-CN"/>
              </w:rPr>
              <w:t>下浮</w:t>
            </w:r>
            <w:r>
              <w:rPr>
                <w:rFonts w:hint="eastAsia" w:asciiTheme="minorEastAsia" w:hAnsiTheme="minorEastAsia" w:eastAsiaTheme="minorEastAsia" w:cstheme="minorEastAsia"/>
                <w:color w:val="auto"/>
                <w:sz w:val="24"/>
                <w:szCs w:val="24"/>
                <w:highlight w:val="none"/>
                <w:lang w:val="en-US" w:eastAsia="zh-CN"/>
              </w:rPr>
              <w:t>30%</w:t>
            </w:r>
            <w:r>
              <w:rPr>
                <w:rFonts w:hint="eastAsia" w:asciiTheme="minorEastAsia" w:hAnsiTheme="minorEastAsia" w:eastAsiaTheme="minorEastAsia" w:cstheme="minorEastAsia"/>
                <w:color w:val="auto"/>
                <w:sz w:val="24"/>
                <w:szCs w:val="24"/>
                <w:highlight w:val="none"/>
              </w:rPr>
              <w:t>；</w:t>
            </w:r>
          </w:p>
          <w:p w14:paraId="3DADC0E8">
            <w:pPr>
              <w:pageBreakBefore w:val="0"/>
              <w:widowControl/>
              <w:tabs>
                <w:tab w:val="left" w:pos="900"/>
                <w:tab w:val="left" w:pos="1100"/>
              </w:tabs>
              <w:kinsoku/>
              <w:wordWrap/>
              <w:overflowPunct/>
              <w:topLinePunct w:val="0"/>
              <w:bidi w:val="0"/>
              <w:adjustRightInd/>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（2）基本设计收费：</w:t>
            </w:r>
            <w:r>
              <w:rPr>
                <w:rFonts w:hint="eastAsia" w:asciiTheme="minorEastAsia" w:hAnsiTheme="minorEastAsia" w:eastAsiaTheme="minorEastAsia" w:cstheme="minorEastAsia"/>
                <w:color w:val="auto"/>
                <w:sz w:val="24"/>
                <w:szCs w:val="24"/>
                <w:highlight w:val="none"/>
                <w:u w:val="single"/>
                <w:lang w:val="en-US" w:eastAsia="zh-CN"/>
              </w:rPr>
              <w:t>20.22万</w:t>
            </w:r>
            <w:r>
              <w:rPr>
                <w:rFonts w:hint="eastAsia" w:asciiTheme="minorEastAsia" w:hAnsiTheme="minorEastAsia" w:eastAsiaTheme="minorEastAsia" w:cstheme="minorEastAsia"/>
                <w:color w:val="auto"/>
                <w:sz w:val="24"/>
                <w:szCs w:val="24"/>
                <w:highlight w:val="none"/>
              </w:rPr>
              <w:t>元，其他设计收费：</w:t>
            </w:r>
            <w:r>
              <w:rPr>
                <w:rFonts w:hint="eastAsia" w:asciiTheme="minorEastAsia" w:hAnsiTheme="minorEastAsia" w:eastAsiaTheme="minorEastAsia" w:cstheme="minorEastAsia"/>
                <w:color w:val="auto"/>
                <w:sz w:val="24"/>
                <w:szCs w:val="24"/>
                <w:highlight w:val="none"/>
                <w:lang w:val="en-US"/>
              </w:rPr>
              <w:t>0</w:t>
            </w:r>
            <w:r>
              <w:rPr>
                <w:rFonts w:hint="eastAsia" w:asciiTheme="minorEastAsia" w:hAnsiTheme="minorEastAsia" w:eastAsiaTheme="minorEastAsia" w:cstheme="minorEastAsia"/>
                <w:color w:val="auto"/>
                <w:sz w:val="24"/>
                <w:szCs w:val="24"/>
                <w:highlight w:val="none"/>
              </w:rPr>
              <w:t>元；</w:t>
            </w:r>
          </w:p>
          <w:p w14:paraId="26AF2298">
            <w:pPr>
              <w:pageBreakBefore w:val="0"/>
              <w:widowControl/>
              <w:tabs>
                <w:tab w:val="left" w:pos="900"/>
                <w:tab w:val="left" w:pos="1100"/>
              </w:tabs>
              <w:kinsoku/>
              <w:wordWrap/>
              <w:overflowPunct/>
              <w:topLinePunct w:val="0"/>
              <w:bidi w:val="0"/>
              <w:adjustRightInd/>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（3）工程设计收费基价：</w:t>
            </w:r>
            <w:r>
              <w:rPr>
                <w:rFonts w:hint="eastAsia" w:asciiTheme="minorEastAsia" w:hAnsiTheme="minorEastAsia" w:eastAsiaTheme="minorEastAsia" w:cstheme="minorEastAsia"/>
                <w:color w:val="auto"/>
                <w:sz w:val="24"/>
                <w:szCs w:val="24"/>
                <w:highlight w:val="none"/>
                <w:u w:val="single"/>
                <w:lang w:val="en-US" w:eastAsia="zh-CN"/>
              </w:rPr>
              <w:t>13.48万</w:t>
            </w:r>
            <w:r>
              <w:rPr>
                <w:rFonts w:hint="eastAsia" w:asciiTheme="minorEastAsia" w:hAnsiTheme="minorEastAsia" w:eastAsiaTheme="minorEastAsia" w:cstheme="minorEastAsia"/>
                <w:color w:val="auto"/>
                <w:sz w:val="24"/>
                <w:szCs w:val="24"/>
                <w:highlight w:val="none"/>
              </w:rPr>
              <w:t>元，专业调整系数：</w:t>
            </w:r>
            <w:r>
              <w:rPr>
                <w:rFonts w:hint="eastAsia" w:asciiTheme="minorEastAsia" w:hAnsiTheme="minorEastAsia" w:eastAsiaTheme="minorEastAsia" w:cstheme="minorEastAsia"/>
                <w:color w:val="auto"/>
                <w:sz w:val="24"/>
                <w:szCs w:val="24"/>
                <w:highlight w:val="none"/>
                <w:lang w:val="en-US"/>
              </w:rPr>
              <w:t>1.0</w:t>
            </w:r>
            <w:r>
              <w:rPr>
                <w:rFonts w:hint="eastAsia" w:asciiTheme="minorEastAsia" w:hAnsiTheme="minorEastAsia" w:eastAsiaTheme="minorEastAsia" w:cstheme="minorEastAsia"/>
                <w:color w:val="auto"/>
                <w:sz w:val="24"/>
                <w:szCs w:val="24"/>
                <w:highlight w:val="none"/>
              </w:rPr>
              <w:t>，工程复杂程度调整系数：</w:t>
            </w:r>
            <w:r>
              <w:rPr>
                <w:rFonts w:hint="eastAsia" w:asciiTheme="minorEastAsia" w:hAnsiTheme="minorEastAsia" w:eastAsiaTheme="minorEastAsia" w:cstheme="minorEastAsia"/>
                <w:color w:val="auto"/>
                <w:sz w:val="24"/>
                <w:szCs w:val="24"/>
                <w:highlight w:val="none"/>
                <w:lang w:val="en-US"/>
              </w:rPr>
              <w:t>1.0</w:t>
            </w:r>
            <w:r>
              <w:rPr>
                <w:rFonts w:hint="eastAsia" w:asciiTheme="minorEastAsia" w:hAnsiTheme="minorEastAsia" w:eastAsiaTheme="minorEastAsia" w:cstheme="minorEastAsia"/>
                <w:color w:val="auto"/>
                <w:sz w:val="24"/>
                <w:szCs w:val="24"/>
                <w:highlight w:val="none"/>
              </w:rPr>
              <w:t>，附加调整系数：</w:t>
            </w:r>
            <w:r>
              <w:rPr>
                <w:rFonts w:hint="eastAsia" w:asciiTheme="minorEastAsia" w:hAnsiTheme="minorEastAsia" w:eastAsiaTheme="minorEastAsia" w:cstheme="minorEastAsia"/>
                <w:color w:val="auto"/>
                <w:sz w:val="24"/>
                <w:szCs w:val="24"/>
                <w:highlight w:val="none"/>
                <w:lang w:val="en-US"/>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p>
          <w:p w14:paraId="37E6A3F5">
            <w:pPr>
              <w:pageBreakBefore w:val="0"/>
              <w:widowControl/>
              <w:tabs>
                <w:tab w:val="left" w:pos="900"/>
                <w:tab w:val="left" w:pos="1100"/>
              </w:tabs>
              <w:kinsoku/>
              <w:wordWrap/>
              <w:overflowPunct/>
              <w:topLinePunct w:val="0"/>
              <w:bidi w:val="0"/>
              <w:adjustRightInd/>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设计费计算办法：</w:t>
            </w:r>
          </w:p>
          <w:p w14:paraId="2A54C99A">
            <w:pPr>
              <w:pageBreakBefore w:val="0"/>
              <w:widowControl/>
              <w:tabs>
                <w:tab w:val="left" w:pos="900"/>
                <w:tab w:val="left" w:pos="1100"/>
              </w:tabs>
              <w:kinsoku/>
              <w:wordWrap/>
              <w:overflowPunct/>
              <w:topLinePunct w:val="0"/>
              <w:bidi w:val="0"/>
              <w:adjustRightInd/>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采用内插法计算工程设计收费基价为[（38.8-20.9）×（669.31-500）/（1000-500）+20.9]×50%（阶段比例）=13.48万元。</w:t>
            </w:r>
          </w:p>
          <w:p w14:paraId="634D986A">
            <w:pPr>
              <w:pageBreakBefore w:val="0"/>
              <w:widowControl/>
              <w:tabs>
                <w:tab w:val="left" w:pos="900"/>
                <w:tab w:val="left" w:pos="1100"/>
              </w:tabs>
              <w:kinsoku/>
              <w:wordWrap/>
              <w:overflowPunct/>
              <w:topLinePunct w:val="0"/>
              <w:bidi w:val="0"/>
              <w:adjustRightInd/>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（1）基本设计收费＝工程设计收费基价（13.48万元）×专业调整系数（1.0）×工程复杂程度调整系数（1.0）×附加调整系数（1.5）＝20.22万元 </w:t>
            </w:r>
          </w:p>
          <w:p w14:paraId="4F9C1762">
            <w:pPr>
              <w:pageBreakBefore w:val="0"/>
              <w:widowControl/>
              <w:tabs>
                <w:tab w:val="left" w:pos="900"/>
                <w:tab w:val="left" w:pos="1100"/>
              </w:tabs>
              <w:kinsoku/>
              <w:wordWrap/>
              <w:overflowPunct/>
              <w:topLinePunct w:val="0"/>
              <w:bidi w:val="0"/>
              <w:adjustRightInd/>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（2）工程设计收费基准价＝基本设计收费（20.22万元）+其他设计收费（0元）＝20.22万元</w:t>
            </w:r>
          </w:p>
          <w:p w14:paraId="71C71A7C">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sz w:val="24"/>
                <w:szCs w:val="24"/>
                <w:highlight w:val="none"/>
                <w:lang w:val="en-US" w:eastAsia="zh-CN"/>
              </w:rPr>
              <w:t>（3）工程设计收费＝工程设计收费基准价（20.22万元）× （1-30%）＝14.15万元</w:t>
            </w:r>
          </w:p>
          <w:p w14:paraId="3ECD08C6">
            <w:pPr>
              <w:pageBreakBefore w:val="0"/>
              <w:widowControl/>
              <w:numPr>
                <w:ilvl w:val="0"/>
                <w:numId w:val="0"/>
              </w:numPr>
              <w:tabs>
                <w:tab w:val="left" w:pos="900"/>
                <w:tab w:val="left" w:pos="1100"/>
              </w:tabs>
              <w:kinsoku/>
              <w:wordWrap/>
              <w:overflowPunct/>
              <w:topLinePunct w:val="0"/>
              <w:bidi w:val="0"/>
              <w:adjustRightInd/>
              <w:spacing w:line="400" w:lineRule="exact"/>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2、医疗设备专项：</w:t>
            </w:r>
            <w:r>
              <w:rPr>
                <w:rFonts w:hint="eastAsia" w:asciiTheme="minorEastAsia" w:hAnsiTheme="minorEastAsia" w:eastAsiaTheme="minorEastAsia" w:cstheme="minorEastAsia"/>
                <w:color w:val="auto"/>
                <w:sz w:val="24"/>
                <w:szCs w:val="24"/>
                <w:highlight w:val="none"/>
                <w:lang w:val="en-US" w:eastAsia="zh-CN"/>
              </w:rPr>
              <w:t>0元</w:t>
            </w:r>
          </w:p>
          <w:p w14:paraId="4F388465">
            <w:pPr>
              <w:pageBreakBefore w:val="0"/>
              <w:widowControl/>
              <w:numPr>
                <w:ilvl w:val="0"/>
                <w:numId w:val="0"/>
              </w:numPr>
              <w:tabs>
                <w:tab w:val="left" w:pos="900"/>
                <w:tab w:val="left" w:pos="1100"/>
              </w:tabs>
              <w:kinsoku/>
              <w:wordWrap/>
              <w:overflowPunct/>
              <w:topLinePunct w:val="0"/>
              <w:bidi w:val="0"/>
              <w:adjustRightInd/>
              <w:spacing w:line="400" w:lineRule="exac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b/>
                <w:bCs/>
                <w:color w:val="auto"/>
                <w:sz w:val="24"/>
                <w:szCs w:val="24"/>
                <w:highlight w:val="none"/>
                <w:lang w:val="en-US" w:eastAsia="zh-CN"/>
              </w:rPr>
              <w:t>3、信息化专项:</w:t>
            </w:r>
            <w:r>
              <w:rPr>
                <w:rFonts w:hint="eastAsia" w:asciiTheme="minorEastAsia" w:hAnsiTheme="minorEastAsia" w:eastAsiaTheme="minorEastAsia" w:cstheme="minorEastAsia"/>
                <w:color w:val="auto"/>
                <w:kern w:val="0"/>
                <w:sz w:val="24"/>
                <w:szCs w:val="24"/>
                <w:highlight w:val="none"/>
                <w:lang w:val="en-US" w:eastAsia="zh-CN" w:bidi="ar"/>
              </w:rPr>
              <w:t>招标人公布信息化专项投资估算为 2020万元(即招标时的计费基数)，初步设计编制费用:信息化专项批复概算</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en-US" w:eastAsia="zh-CN" w:bidi="ar"/>
              </w:rPr>
              <w:t>1%，浮动幅度值:下浮30%:初步设计编制费用:2020</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en-US" w:eastAsia="zh-CN" w:bidi="ar"/>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kern w:val="0"/>
                <w:sz w:val="24"/>
                <w:szCs w:val="24"/>
                <w:highlight w:val="none"/>
                <w:lang w:val="en-US" w:eastAsia="zh-CN" w:bidi="ar"/>
              </w:rPr>
              <w:t>(1-30%)=14.14 万元</w:t>
            </w:r>
          </w:p>
          <w:p w14:paraId="73D35350">
            <w:pPr>
              <w:pageBreakBefore w:val="0"/>
              <w:widowControl/>
              <w:numPr>
                <w:ilvl w:val="0"/>
                <w:numId w:val="0"/>
              </w:numPr>
              <w:tabs>
                <w:tab w:val="left" w:pos="900"/>
                <w:tab w:val="left" w:pos="1100"/>
              </w:tabs>
              <w:kinsoku/>
              <w:wordWrap/>
              <w:overflowPunct/>
              <w:topLinePunct w:val="0"/>
              <w:bidi w:val="0"/>
              <w:adjustRightInd/>
              <w:spacing w:line="400" w:lineRule="exact"/>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b/>
                <w:bCs/>
                <w:color w:val="auto"/>
                <w:kern w:val="0"/>
                <w:sz w:val="24"/>
                <w:szCs w:val="24"/>
                <w:highlight w:val="none"/>
                <w:lang w:val="en-US" w:eastAsia="zh-CN" w:bidi="ar"/>
              </w:rPr>
              <w:t>4、本项目方案及初步设计费用合计:14.15万元+14.14万元=28.29 万元</w:t>
            </w:r>
          </w:p>
          <w:p w14:paraId="15B602A0">
            <w:pPr>
              <w:pageBreakBefore w:val="0"/>
              <w:widowControl/>
              <w:numPr>
                <w:ilvl w:val="0"/>
                <w:numId w:val="0"/>
              </w:numPr>
              <w:tabs>
                <w:tab w:val="left" w:pos="900"/>
                <w:tab w:val="left" w:pos="1100"/>
              </w:tabs>
              <w:kinsoku/>
              <w:wordWrap/>
              <w:overflowPunct/>
              <w:topLinePunct w:val="0"/>
              <w:bidi w:val="0"/>
              <w:adjustRightInd/>
              <w:spacing w:line="400" w:lineRule="exact"/>
              <w:textAlignment w:val="auto"/>
              <w:rPr>
                <w:rFonts w:hint="eastAsia" w:asciiTheme="minorEastAsia" w:hAnsiTheme="minorEastAsia" w:eastAsiaTheme="minorEastAsia" w:cstheme="minorEastAsia"/>
                <w:b/>
                <w:bCs/>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注：1、签约合同时暂以发改部门批复的立项备案表的建安造价与信息化专项投资估算为设计费取费基数，最终以经福建省发改委批复的概算金额作为初步设计费取费基数，设计费最终经福建省发改委批复的概算金额为准.</w:t>
            </w:r>
          </w:p>
        </w:tc>
      </w:tr>
      <w:tr w14:paraId="4A399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600" w:type="dxa"/>
            <w:tcBorders>
              <w:left w:val="single" w:color="auto" w:sz="8" w:space="0"/>
            </w:tcBorders>
            <w:noWrap w:val="0"/>
            <w:vAlign w:val="center"/>
          </w:tcPr>
          <w:p w14:paraId="7A0D8B27">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74A21891">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16.1</w:t>
            </w:r>
          </w:p>
        </w:tc>
        <w:tc>
          <w:tcPr>
            <w:tcW w:w="1300" w:type="dxa"/>
            <w:tcBorders>
              <w:right w:val="single" w:color="auto" w:sz="4" w:space="0"/>
            </w:tcBorders>
            <w:noWrap w:val="0"/>
            <w:vAlign w:val="center"/>
          </w:tcPr>
          <w:p w14:paraId="6B257146">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投标有效期</w:t>
            </w:r>
          </w:p>
        </w:tc>
        <w:tc>
          <w:tcPr>
            <w:tcW w:w="6300" w:type="dxa"/>
            <w:tcBorders>
              <w:left w:val="single" w:color="auto" w:sz="4" w:space="0"/>
              <w:right w:val="single" w:color="auto" w:sz="8" w:space="0"/>
            </w:tcBorders>
            <w:noWrap w:val="0"/>
            <w:vAlign w:val="center"/>
          </w:tcPr>
          <w:p w14:paraId="631D77AE">
            <w:pPr>
              <w:pStyle w:val="5"/>
              <w:pageBreakBefore w:val="0"/>
              <w:kinsoku/>
              <w:wordWrap/>
              <w:overflowPunct/>
              <w:topLinePunct w:val="0"/>
              <w:bidi w:val="0"/>
              <w:snapToGrid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本招标项目的投标有效期为投标截止期后</w:t>
            </w:r>
            <w:r>
              <w:rPr>
                <w:rFonts w:hint="eastAsia" w:asciiTheme="minorEastAsia" w:hAnsiTheme="minorEastAsia" w:eastAsiaTheme="minorEastAsia" w:cstheme="minorEastAsia"/>
                <w:color w:val="auto"/>
                <w:sz w:val="24"/>
                <w:szCs w:val="24"/>
                <w:highlight w:val="none"/>
                <w:u w:val="single"/>
                <w:lang w:val="en-US"/>
              </w:rPr>
              <w:t>90</w:t>
            </w:r>
            <w:r>
              <w:rPr>
                <w:rFonts w:hint="eastAsia" w:asciiTheme="minorEastAsia" w:hAnsiTheme="minorEastAsia" w:eastAsiaTheme="minorEastAsia" w:cstheme="minorEastAsia"/>
                <w:color w:val="auto"/>
                <w:sz w:val="24"/>
                <w:szCs w:val="24"/>
                <w:highlight w:val="none"/>
              </w:rPr>
              <w:t>日历天。</w:t>
            </w:r>
          </w:p>
        </w:tc>
      </w:tr>
      <w:tr w14:paraId="56F0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00" w:type="dxa"/>
            <w:tcBorders>
              <w:left w:val="single" w:color="auto" w:sz="8" w:space="0"/>
              <w:bottom w:val="single" w:color="auto" w:sz="4" w:space="0"/>
            </w:tcBorders>
            <w:noWrap w:val="0"/>
            <w:vAlign w:val="center"/>
          </w:tcPr>
          <w:p w14:paraId="6385AEC0">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tcBorders>
              <w:bottom w:val="single" w:color="auto" w:sz="4" w:space="0"/>
            </w:tcBorders>
            <w:noWrap w:val="0"/>
            <w:vAlign w:val="center"/>
          </w:tcPr>
          <w:p w14:paraId="2A1CC9EF">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17.1</w:t>
            </w:r>
          </w:p>
        </w:tc>
        <w:tc>
          <w:tcPr>
            <w:tcW w:w="1300" w:type="dxa"/>
            <w:tcBorders>
              <w:bottom w:val="single" w:color="auto" w:sz="4" w:space="0"/>
              <w:right w:val="single" w:color="auto" w:sz="4" w:space="0"/>
            </w:tcBorders>
            <w:noWrap w:val="0"/>
            <w:vAlign w:val="center"/>
          </w:tcPr>
          <w:p w14:paraId="4B3F2D11">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投标保证金提交方式和金额</w:t>
            </w:r>
          </w:p>
        </w:tc>
        <w:tc>
          <w:tcPr>
            <w:tcW w:w="6300" w:type="dxa"/>
            <w:tcBorders>
              <w:left w:val="single" w:color="auto" w:sz="4" w:space="0"/>
              <w:bottom w:val="single" w:color="auto" w:sz="4" w:space="0"/>
              <w:right w:val="single" w:color="auto" w:sz="8" w:space="0"/>
            </w:tcBorders>
            <w:noWrap w:val="0"/>
            <w:vAlign w:val="center"/>
          </w:tcPr>
          <w:p w14:paraId="6FB78C96">
            <w:pPr>
              <w:pStyle w:val="5"/>
              <w:pageBreakBefore w:val="0"/>
              <w:kinsoku/>
              <w:wordWrap/>
              <w:overflowPunct/>
              <w:topLinePunct w:val="0"/>
              <w:bidi w:val="0"/>
              <w:spacing w:line="400" w:lineRule="exact"/>
              <w:ind w:firstLine="482"/>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投标保证金金额：</w:t>
            </w:r>
            <w:r>
              <w:rPr>
                <w:rFonts w:hint="eastAsia" w:asciiTheme="minorEastAsia" w:hAnsiTheme="minorEastAsia" w:eastAsiaTheme="minorEastAsia" w:cstheme="minorEastAsia"/>
                <w:color w:val="auto"/>
                <w:sz w:val="24"/>
                <w:szCs w:val="24"/>
                <w:highlight w:val="none"/>
                <w:lang w:val="en-US" w:eastAsia="zh-CN"/>
              </w:rPr>
              <w:t>0元</w:t>
            </w:r>
            <w:r>
              <w:rPr>
                <w:rFonts w:hint="eastAsia" w:asciiTheme="minorEastAsia" w:hAnsiTheme="minorEastAsia" w:eastAsiaTheme="minorEastAsia" w:cstheme="minorEastAsia"/>
                <w:color w:val="auto"/>
                <w:sz w:val="24"/>
                <w:szCs w:val="24"/>
                <w:highlight w:val="none"/>
              </w:rPr>
              <w:t>；</w:t>
            </w:r>
          </w:p>
        </w:tc>
      </w:tr>
      <w:tr w14:paraId="27FD4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600" w:type="dxa"/>
            <w:tcBorders>
              <w:left w:val="single" w:color="auto" w:sz="8" w:space="0"/>
            </w:tcBorders>
            <w:noWrap w:val="0"/>
            <w:vAlign w:val="center"/>
          </w:tcPr>
          <w:p w14:paraId="00A79C90">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6DED33AF">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18.1</w:t>
            </w:r>
          </w:p>
        </w:tc>
        <w:tc>
          <w:tcPr>
            <w:tcW w:w="1300" w:type="dxa"/>
            <w:tcBorders>
              <w:right w:val="single" w:color="auto" w:sz="4" w:space="0"/>
            </w:tcBorders>
            <w:noWrap w:val="0"/>
            <w:vAlign w:val="center"/>
          </w:tcPr>
          <w:p w14:paraId="4CFF8E87">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投标文件份数</w:t>
            </w:r>
          </w:p>
        </w:tc>
        <w:tc>
          <w:tcPr>
            <w:tcW w:w="6300" w:type="dxa"/>
            <w:tcBorders>
              <w:left w:val="single" w:color="auto" w:sz="4" w:space="0"/>
              <w:right w:val="single" w:color="auto" w:sz="8" w:space="0"/>
            </w:tcBorders>
            <w:noWrap w:val="0"/>
            <w:vAlign w:val="center"/>
          </w:tcPr>
          <w:p w14:paraId="1D9710E2">
            <w:pPr>
              <w:pStyle w:val="5"/>
              <w:pageBreakBefore w:val="0"/>
              <w:kinsoku/>
              <w:wordWrap/>
              <w:overflowPunct/>
              <w:topLinePunct w:val="0"/>
              <w:bidi w:val="0"/>
              <w:spacing w:line="400" w:lineRule="exact"/>
              <w:ind w:firstLine="472"/>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采用线下书面提交：</w:t>
            </w:r>
          </w:p>
          <w:p w14:paraId="4DB2343A">
            <w:pPr>
              <w:pStyle w:val="5"/>
              <w:pageBreakBefore w:val="0"/>
              <w:kinsoku/>
              <w:wordWrap/>
              <w:overflowPunct/>
              <w:topLinePunct w:val="0"/>
              <w:bidi w:val="0"/>
              <w:snapToGrid w:val="0"/>
              <w:spacing w:line="400" w:lineRule="exact"/>
              <w:ind w:firstLine="470" w:firstLineChars="196"/>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资格审查文件：</w:t>
            </w:r>
            <w:r>
              <w:rPr>
                <w:rFonts w:hint="eastAsia" w:asciiTheme="minorEastAsia" w:hAnsiTheme="minorEastAsia" w:eastAsiaTheme="minorEastAsia" w:cstheme="minorEastAsia"/>
                <w:color w:val="auto"/>
                <w:sz w:val="24"/>
                <w:szCs w:val="24"/>
                <w:highlight w:val="none"/>
                <w:u w:val="single"/>
              </w:rPr>
              <w:t>一套</w:t>
            </w:r>
            <w:r>
              <w:rPr>
                <w:rFonts w:hint="eastAsia" w:asciiTheme="minorEastAsia" w:hAnsiTheme="minorEastAsia" w:eastAsiaTheme="minorEastAsia" w:cstheme="minorEastAsia"/>
                <w:color w:val="auto"/>
                <w:sz w:val="24"/>
                <w:szCs w:val="24"/>
                <w:highlight w:val="none"/>
              </w:rPr>
              <w:t>正本，</w:t>
            </w:r>
            <w:r>
              <w:rPr>
                <w:rFonts w:hint="eastAsia" w:asciiTheme="minorEastAsia" w:hAnsiTheme="minorEastAsia" w:eastAsiaTheme="minorEastAsia" w:cstheme="minorEastAsia"/>
                <w:color w:val="auto"/>
                <w:sz w:val="24"/>
                <w:szCs w:val="24"/>
                <w:highlight w:val="none"/>
                <w:u w:val="single"/>
                <w:lang w:eastAsia="zh-CN"/>
              </w:rPr>
              <w:t>四套</w:t>
            </w:r>
            <w:r>
              <w:rPr>
                <w:rFonts w:hint="eastAsia" w:asciiTheme="minorEastAsia" w:hAnsiTheme="minorEastAsia" w:eastAsiaTheme="minorEastAsia" w:cstheme="minorEastAsia"/>
                <w:color w:val="auto"/>
                <w:sz w:val="24"/>
                <w:szCs w:val="24"/>
                <w:highlight w:val="none"/>
              </w:rPr>
              <w:t>副本。</w:t>
            </w:r>
          </w:p>
          <w:p w14:paraId="2E993B4C">
            <w:pPr>
              <w:pStyle w:val="5"/>
              <w:pageBreakBefore w:val="0"/>
              <w:kinsoku/>
              <w:wordWrap/>
              <w:overflowPunct/>
              <w:topLinePunct w:val="0"/>
              <w:bidi w:val="0"/>
              <w:snapToGrid w:val="0"/>
              <w:spacing w:line="400" w:lineRule="exact"/>
              <w:ind w:firstLine="470" w:firstLineChars="196"/>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商务文件：</w:t>
            </w:r>
            <w:r>
              <w:rPr>
                <w:rFonts w:hint="eastAsia" w:asciiTheme="minorEastAsia" w:hAnsiTheme="minorEastAsia" w:eastAsiaTheme="minorEastAsia" w:cstheme="minorEastAsia"/>
                <w:color w:val="auto"/>
                <w:sz w:val="24"/>
                <w:szCs w:val="24"/>
                <w:highlight w:val="none"/>
                <w:u w:val="single"/>
              </w:rPr>
              <w:t>一套</w:t>
            </w:r>
            <w:r>
              <w:rPr>
                <w:rFonts w:hint="eastAsia" w:asciiTheme="minorEastAsia" w:hAnsiTheme="minorEastAsia" w:eastAsiaTheme="minorEastAsia" w:cstheme="minorEastAsia"/>
                <w:color w:val="auto"/>
                <w:sz w:val="24"/>
                <w:szCs w:val="24"/>
                <w:highlight w:val="none"/>
              </w:rPr>
              <w:t>正本，</w:t>
            </w:r>
            <w:r>
              <w:rPr>
                <w:rFonts w:hint="eastAsia" w:asciiTheme="minorEastAsia" w:hAnsiTheme="minorEastAsia" w:eastAsiaTheme="minorEastAsia" w:cstheme="minorEastAsia"/>
                <w:color w:val="auto"/>
                <w:sz w:val="24"/>
                <w:szCs w:val="24"/>
                <w:highlight w:val="none"/>
                <w:u w:val="single"/>
                <w:lang w:eastAsia="zh-CN"/>
              </w:rPr>
              <w:t>四套</w:t>
            </w:r>
            <w:r>
              <w:rPr>
                <w:rFonts w:hint="eastAsia" w:asciiTheme="minorEastAsia" w:hAnsiTheme="minorEastAsia" w:eastAsiaTheme="minorEastAsia" w:cstheme="minorEastAsia"/>
                <w:color w:val="auto"/>
                <w:sz w:val="24"/>
                <w:szCs w:val="24"/>
                <w:highlight w:val="none"/>
              </w:rPr>
              <w:t>副本。</w:t>
            </w:r>
          </w:p>
          <w:p w14:paraId="27A13CE5">
            <w:pPr>
              <w:pStyle w:val="5"/>
              <w:pageBreakBefore w:val="0"/>
              <w:kinsoku/>
              <w:wordWrap/>
              <w:overflowPunct/>
              <w:topLinePunct w:val="0"/>
              <w:bidi w:val="0"/>
              <w:snapToGrid w:val="0"/>
              <w:spacing w:line="400" w:lineRule="exact"/>
              <w:ind w:firstLine="470" w:firstLineChars="196"/>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技术文件</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b/>
                <w:color w:val="auto"/>
                <w:sz w:val="24"/>
                <w:szCs w:val="24"/>
                <w:highlight w:val="none"/>
              </w:rPr>
              <w:t>设计说明和设计图纸汇编缩印本）：</w:t>
            </w:r>
            <w:r>
              <w:rPr>
                <w:rFonts w:hint="eastAsia" w:asciiTheme="minorEastAsia" w:hAnsiTheme="minorEastAsia" w:eastAsiaTheme="minorEastAsia" w:cstheme="minorEastAsia"/>
                <w:color w:val="auto"/>
                <w:sz w:val="24"/>
                <w:szCs w:val="24"/>
                <w:highlight w:val="none"/>
                <w:u w:val="single"/>
              </w:rPr>
              <w:t>一套</w:t>
            </w:r>
            <w:r>
              <w:rPr>
                <w:rFonts w:hint="eastAsia" w:asciiTheme="minorEastAsia" w:hAnsiTheme="minorEastAsia" w:eastAsiaTheme="minorEastAsia" w:cstheme="minorEastAsia"/>
                <w:color w:val="auto"/>
                <w:sz w:val="24"/>
                <w:szCs w:val="24"/>
                <w:highlight w:val="none"/>
              </w:rPr>
              <w:t>正本，</w:t>
            </w:r>
            <w:r>
              <w:rPr>
                <w:rFonts w:hint="eastAsia" w:asciiTheme="minorEastAsia" w:hAnsiTheme="minorEastAsia" w:eastAsiaTheme="minorEastAsia" w:cstheme="minorEastAsia"/>
                <w:color w:val="auto"/>
                <w:sz w:val="24"/>
                <w:szCs w:val="24"/>
                <w:highlight w:val="none"/>
                <w:u w:val="single"/>
                <w:lang w:val="en-US" w:eastAsia="zh-CN"/>
              </w:rPr>
              <w:t>四</w:t>
            </w:r>
            <w:r>
              <w:rPr>
                <w:rFonts w:hint="eastAsia" w:asciiTheme="minorEastAsia" w:hAnsiTheme="minorEastAsia" w:eastAsiaTheme="minorEastAsia" w:cstheme="minorEastAsia"/>
                <w:color w:val="auto"/>
                <w:sz w:val="24"/>
                <w:szCs w:val="24"/>
                <w:highlight w:val="none"/>
                <w:u w:val="single"/>
                <w:lang w:eastAsia="zh-CN"/>
              </w:rPr>
              <w:t>套</w:t>
            </w:r>
            <w:r>
              <w:rPr>
                <w:rFonts w:hint="eastAsia" w:asciiTheme="minorEastAsia" w:hAnsiTheme="minorEastAsia" w:eastAsiaTheme="minorEastAsia" w:cstheme="minorEastAsia"/>
                <w:color w:val="auto"/>
                <w:sz w:val="24"/>
                <w:szCs w:val="24"/>
                <w:highlight w:val="none"/>
              </w:rPr>
              <w:t>副本。</w:t>
            </w:r>
          </w:p>
        </w:tc>
      </w:tr>
      <w:tr w14:paraId="49AE4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600" w:type="dxa"/>
            <w:tcBorders>
              <w:left w:val="single" w:color="auto" w:sz="8" w:space="0"/>
            </w:tcBorders>
            <w:noWrap w:val="0"/>
            <w:vAlign w:val="center"/>
          </w:tcPr>
          <w:p w14:paraId="7754D4ED">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1228154C">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19.1</w:t>
            </w:r>
          </w:p>
        </w:tc>
        <w:tc>
          <w:tcPr>
            <w:tcW w:w="1300" w:type="dxa"/>
            <w:tcBorders>
              <w:right w:val="single" w:color="auto" w:sz="4" w:space="0"/>
            </w:tcBorders>
            <w:noWrap w:val="0"/>
            <w:vAlign w:val="center"/>
          </w:tcPr>
          <w:p w14:paraId="26C725E1">
            <w:pPr>
              <w:pStyle w:val="5"/>
              <w:pageBreakBefore w:val="0"/>
              <w:kinsoku/>
              <w:wordWrap/>
              <w:overflowPunct/>
              <w:topLinePunct w:val="0"/>
              <w:bidi w:val="0"/>
              <w:snapToGrid w:val="0"/>
              <w:spacing w:line="400" w:lineRule="exact"/>
              <w:ind w:firstLine="0"/>
              <w:jc w:val="both"/>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资格审查文件、商务文件、技术文件的总包封要求</w:t>
            </w:r>
          </w:p>
        </w:tc>
        <w:tc>
          <w:tcPr>
            <w:tcW w:w="6300" w:type="dxa"/>
            <w:tcBorders>
              <w:left w:val="single" w:color="auto" w:sz="4" w:space="0"/>
              <w:right w:val="single" w:color="auto" w:sz="8" w:space="0"/>
            </w:tcBorders>
            <w:noWrap w:val="0"/>
            <w:vAlign w:val="center"/>
          </w:tcPr>
          <w:p w14:paraId="1514B1FA">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资格审查文件、商务文件、技术文件</w:t>
            </w:r>
            <w:r>
              <w:rPr>
                <w:rFonts w:hint="eastAsia" w:asciiTheme="minorEastAsia" w:hAnsiTheme="minorEastAsia" w:eastAsiaTheme="minorEastAsia" w:cstheme="minorEastAsia"/>
                <w:b/>
                <w:color w:val="auto"/>
                <w:sz w:val="24"/>
                <w:szCs w:val="24"/>
                <w:highlight w:val="none"/>
              </w:rPr>
              <w:t>（设计说明和设计图纸汇编缩印本）</w:t>
            </w:r>
            <w:r>
              <w:rPr>
                <w:rFonts w:hint="eastAsia" w:asciiTheme="minorEastAsia" w:hAnsiTheme="minorEastAsia" w:eastAsiaTheme="minorEastAsia" w:cstheme="minorEastAsia"/>
                <w:color w:val="auto"/>
                <w:sz w:val="24"/>
                <w:szCs w:val="24"/>
                <w:highlight w:val="none"/>
              </w:rPr>
              <w:t>按照本须知19.2、19.3和19.4规定的包封、密封和标志后，不需要进行总包封。</w:t>
            </w:r>
          </w:p>
        </w:tc>
      </w:tr>
      <w:tr w14:paraId="370C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600" w:type="dxa"/>
            <w:tcBorders>
              <w:left w:val="single" w:color="auto" w:sz="8" w:space="0"/>
            </w:tcBorders>
            <w:noWrap w:val="0"/>
            <w:vAlign w:val="center"/>
          </w:tcPr>
          <w:p w14:paraId="06B7B5F2">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27DC1DF2">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19.6</w:t>
            </w:r>
          </w:p>
        </w:tc>
        <w:tc>
          <w:tcPr>
            <w:tcW w:w="1300" w:type="dxa"/>
            <w:tcBorders>
              <w:right w:val="single" w:color="auto" w:sz="4" w:space="0"/>
            </w:tcBorders>
            <w:noWrap w:val="0"/>
            <w:vAlign w:val="center"/>
          </w:tcPr>
          <w:p w14:paraId="0B199D7A">
            <w:pPr>
              <w:pStyle w:val="5"/>
              <w:pageBreakBefore w:val="0"/>
              <w:kinsoku/>
              <w:wordWrap/>
              <w:overflowPunct/>
              <w:topLinePunct w:val="0"/>
              <w:bidi w:val="0"/>
              <w:snapToGrid w:val="0"/>
              <w:spacing w:line="400" w:lineRule="exact"/>
              <w:ind w:left="-108"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招标人是否提供包封袋</w:t>
            </w:r>
          </w:p>
        </w:tc>
        <w:tc>
          <w:tcPr>
            <w:tcW w:w="6300" w:type="dxa"/>
            <w:tcBorders>
              <w:left w:val="single" w:color="auto" w:sz="4" w:space="0"/>
              <w:right w:val="single" w:color="auto" w:sz="8" w:space="0"/>
            </w:tcBorders>
            <w:noWrap w:val="0"/>
            <w:vAlign w:val="center"/>
          </w:tcPr>
          <w:p w14:paraId="38F43410">
            <w:pPr>
              <w:pStyle w:val="5"/>
              <w:pageBreakBefore w:val="0"/>
              <w:kinsoku/>
              <w:wordWrap/>
              <w:overflowPunct/>
              <w:topLinePunct w:val="0"/>
              <w:bidi w:val="0"/>
              <w:snapToGrid w:val="0"/>
              <w:spacing w:line="400" w:lineRule="exact"/>
              <w:ind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招标人</w:t>
            </w:r>
            <w:r>
              <w:rPr>
                <w:rFonts w:hint="eastAsia" w:asciiTheme="minorEastAsia" w:hAnsiTheme="minorEastAsia" w:eastAsiaTheme="minorEastAsia" w:cstheme="minorEastAsia"/>
                <w:color w:val="auto"/>
                <w:sz w:val="24"/>
                <w:szCs w:val="24"/>
                <w:highlight w:val="none"/>
                <w:u w:val="single"/>
              </w:rPr>
              <w:t>不提供</w:t>
            </w:r>
            <w:r>
              <w:rPr>
                <w:rFonts w:hint="eastAsia" w:asciiTheme="minorEastAsia" w:hAnsiTheme="minorEastAsia" w:eastAsiaTheme="minorEastAsia" w:cstheme="minorEastAsia"/>
                <w:color w:val="auto"/>
                <w:sz w:val="24"/>
                <w:szCs w:val="24"/>
                <w:highlight w:val="none"/>
              </w:rPr>
              <w:t>包封袋。</w:t>
            </w:r>
          </w:p>
        </w:tc>
      </w:tr>
      <w:tr w14:paraId="21810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600" w:type="dxa"/>
            <w:tcBorders>
              <w:left w:val="single" w:color="auto" w:sz="8" w:space="0"/>
            </w:tcBorders>
            <w:noWrap w:val="0"/>
            <w:vAlign w:val="center"/>
          </w:tcPr>
          <w:p w14:paraId="77415E4E">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02BDBD32">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20.1</w:t>
            </w:r>
          </w:p>
        </w:tc>
        <w:tc>
          <w:tcPr>
            <w:tcW w:w="1300" w:type="dxa"/>
            <w:tcBorders>
              <w:right w:val="single" w:color="auto" w:sz="4" w:space="0"/>
            </w:tcBorders>
            <w:noWrap w:val="0"/>
            <w:vAlign w:val="center"/>
          </w:tcPr>
          <w:p w14:paraId="497A0228">
            <w:pPr>
              <w:pStyle w:val="5"/>
              <w:pageBreakBefore w:val="0"/>
              <w:kinsoku/>
              <w:wordWrap/>
              <w:overflowPunct/>
              <w:topLinePunct w:val="0"/>
              <w:bidi w:val="0"/>
              <w:snapToGrid w:val="0"/>
              <w:spacing w:line="400" w:lineRule="exact"/>
              <w:ind w:left="-108"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投标文件提交地点</w:t>
            </w:r>
          </w:p>
        </w:tc>
        <w:tc>
          <w:tcPr>
            <w:tcW w:w="6300" w:type="dxa"/>
            <w:tcBorders>
              <w:left w:val="single" w:color="auto" w:sz="4" w:space="0"/>
              <w:right w:val="single" w:color="auto" w:sz="8" w:space="0"/>
            </w:tcBorders>
            <w:noWrap w:val="0"/>
            <w:vAlign w:val="center"/>
          </w:tcPr>
          <w:p w14:paraId="78AACBB9">
            <w:pPr>
              <w:pStyle w:val="5"/>
              <w:pageBreakBefore w:val="0"/>
              <w:kinsoku/>
              <w:wordWrap/>
              <w:overflowPunct/>
              <w:topLinePunct w:val="0"/>
              <w:bidi w:val="0"/>
              <w:snapToGrid w:val="0"/>
              <w:spacing w:line="400" w:lineRule="exact"/>
              <w:ind w:left="-9" w:leftChars="-4" w:firstLine="470" w:firstLineChars="196"/>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kern w:val="2"/>
                <w:sz w:val="24"/>
                <w:szCs w:val="24"/>
                <w:highlight w:val="none"/>
                <w:u w:val="none"/>
                <w:lang w:val="en-US" w:eastAsia="zh-CN" w:bidi="ar-SA"/>
              </w:rPr>
              <w:t>详见《招标公告》</w:t>
            </w:r>
          </w:p>
        </w:tc>
      </w:tr>
      <w:tr w14:paraId="3AE2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0" w:type="dxa"/>
            <w:tcBorders>
              <w:left w:val="single" w:color="auto" w:sz="8" w:space="0"/>
            </w:tcBorders>
            <w:noWrap w:val="0"/>
            <w:vAlign w:val="center"/>
          </w:tcPr>
          <w:p w14:paraId="2D0374B2">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1A30178B">
            <w:pPr>
              <w:pStyle w:val="5"/>
              <w:pageBreakBefore w:val="0"/>
              <w:kinsoku/>
              <w:wordWrap/>
              <w:overflowPunct/>
              <w:topLinePunct w:val="0"/>
              <w:bidi w:val="0"/>
              <w:snapToGrid w:val="0"/>
              <w:spacing w:line="400" w:lineRule="exact"/>
              <w:ind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21.1</w:t>
            </w:r>
          </w:p>
        </w:tc>
        <w:tc>
          <w:tcPr>
            <w:tcW w:w="1300" w:type="dxa"/>
            <w:tcBorders>
              <w:right w:val="single" w:color="auto" w:sz="4" w:space="0"/>
            </w:tcBorders>
            <w:noWrap w:val="0"/>
            <w:vAlign w:val="center"/>
          </w:tcPr>
          <w:p w14:paraId="254164E0">
            <w:pPr>
              <w:pStyle w:val="5"/>
              <w:pageBreakBefore w:val="0"/>
              <w:kinsoku/>
              <w:wordWrap/>
              <w:overflowPunct/>
              <w:topLinePunct w:val="0"/>
              <w:bidi w:val="0"/>
              <w:snapToGrid w:val="0"/>
              <w:spacing w:line="400" w:lineRule="exact"/>
              <w:ind w:left="-108"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递交投标文件截止时间</w:t>
            </w:r>
          </w:p>
        </w:tc>
        <w:tc>
          <w:tcPr>
            <w:tcW w:w="6300" w:type="dxa"/>
            <w:tcBorders>
              <w:left w:val="single" w:color="auto" w:sz="4" w:space="0"/>
              <w:right w:val="single" w:color="auto" w:sz="8" w:space="0"/>
            </w:tcBorders>
            <w:noWrap w:val="0"/>
            <w:vAlign w:val="center"/>
          </w:tcPr>
          <w:p w14:paraId="380F55DA">
            <w:pPr>
              <w:pStyle w:val="5"/>
              <w:pageBreakBefore w:val="0"/>
              <w:kinsoku/>
              <w:wordWrap/>
              <w:overflowPunct/>
              <w:topLinePunct w:val="0"/>
              <w:bidi w:val="0"/>
              <w:snapToGrid w:val="0"/>
              <w:spacing w:line="400" w:lineRule="exact"/>
              <w:ind w:left="-9" w:leftChars="-4" w:firstLineChars="200"/>
              <w:textAlignment w:val="auto"/>
              <w:rPr>
                <w:rFonts w:hint="eastAsia" w:asciiTheme="minorEastAsia" w:hAnsiTheme="minorEastAsia" w:eastAsiaTheme="minorEastAsia" w:cstheme="minorEastAsia"/>
                <w:b/>
                <w:color w:val="auto"/>
                <w:sz w:val="24"/>
                <w:szCs w:val="24"/>
                <w:highlight w:val="none"/>
                <w:u w:val="double"/>
              </w:rPr>
            </w:pPr>
            <w:r>
              <w:rPr>
                <w:rFonts w:hint="eastAsia" w:asciiTheme="minorEastAsia" w:hAnsiTheme="minorEastAsia" w:eastAsiaTheme="minorEastAsia" w:cstheme="minorEastAsia"/>
                <w:color w:val="auto"/>
                <w:kern w:val="2"/>
                <w:sz w:val="24"/>
                <w:szCs w:val="24"/>
                <w:highlight w:val="none"/>
                <w:u w:val="none"/>
                <w:lang w:val="en-US" w:eastAsia="zh-CN" w:bidi="ar-SA"/>
              </w:rPr>
              <w:t>详见《招标公告》</w:t>
            </w:r>
          </w:p>
        </w:tc>
      </w:tr>
      <w:tr w14:paraId="5DED0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600" w:type="dxa"/>
            <w:tcBorders>
              <w:left w:val="single" w:color="auto" w:sz="8" w:space="0"/>
            </w:tcBorders>
            <w:noWrap w:val="0"/>
            <w:vAlign w:val="center"/>
          </w:tcPr>
          <w:p w14:paraId="71EB1EA8">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18A43B58">
            <w:pPr>
              <w:pStyle w:val="5"/>
              <w:pageBreakBefore w:val="0"/>
              <w:kinsoku/>
              <w:wordWrap/>
              <w:overflowPunct/>
              <w:topLinePunct w:val="0"/>
              <w:bidi w:val="0"/>
              <w:snapToGrid w:val="0"/>
              <w:spacing w:line="400" w:lineRule="exact"/>
              <w:ind w:left="24"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23.1</w:t>
            </w:r>
          </w:p>
        </w:tc>
        <w:tc>
          <w:tcPr>
            <w:tcW w:w="1300" w:type="dxa"/>
            <w:tcBorders>
              <w:right w:val="single" w:color="auto" w:sz="4" w:space="0"/>
            </w:tcBorders>
            <w:noWrap w:val="0"/>
            <w:vAlign w:val="center"/>
          </w:tcPr>
          <w:p w14:paraId="21C87ACB">
            <w:pPr>
              <w:pStyle w:val="5"/>
              <w:pageBreakBefore w:val="0"/>
              <w:kinsoku/>
              <w:wordWrap/>
              <w:overflowPunct/>
              <w:topLinePunct w:val="0"/>
              <w:bidi w:val="0"/>
              <w:snapToGrid w:val="0"/>
              <w:spacing w:line="400" w:lineRule="exact"/>
              <w:ind w:left="24"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pacing w:val="-12"/>
                <w:sz w:val="24"/>
                <w:szCs w:val="24"/>
                <w:highlight w:val="none"/>
              </w:rPr>
              <w:t>开标</w:t>
            </w:r>
          </w:p>
        </w:tc>
        <w:tc>
          <w:tcPr>
            <w:tcW w:w="6300" w:type="dxa"/>
            <w:tcBorders>
              <w:left w:val="single" w:color="auto" w:sz="4" w:space="0"/>
              <w:right w:val="single" w:color="auto" w:sz="8" w:space="0"/>
            </w:tcBorders>
            <w:noWrap w:val="0"/>
            <w:vAlign w:val="center"/>
          </w:tcPr>
          <w:p w14:paraId="7579FF59">
            <w:pPr>
              <w:pStyle w:val="5"/>
              <w:pageBreakBefore w:val="0"/>
              <w:kinsoku/>
              <w:wordWrap/>
              <w:overflowPunct/>
              <w:topLinePunct w:val="0"/>
              <w:bidi w:val="0"/>
              <w:snapToGrid w:val="0"/>
              <w:spacing w:line="400" w:lineRule="exact"/>
              <w:ind w:left="24"/>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u w:val="single"/>
              </w:rPr>
              <w:t>采用资格后审的，招标人将于投标人提交投标文件的截止时间、地点的同一时间、地点进行开标</w:t>
            </w:r>
            <w:r>
              <w:rPr>
                <w:rFonts w:hint="eastAsia" w:asciiTheme="minorEastAsia" w:hAnsiTheme="minorEastAsia" w:eastAsiaTheme="minorEastAsia" w:cstheme="minorEastAsia"/>
                <w:color w:val="auto"/>
                <w:sz w:val="24"/>
                <w:szCs w:val="24"/>
                <w:highlight w:val="none"/>
              </w:rPr>
              <w:t>。</w:t>
            </w:r>
          </w:p>
        </w:tc>
      </w:tr>
      <w:tr w14:paraId="230D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600" w:type="dxa"/>
            <w:tcBorders>
              <w:left w:val="single" w:color="auto" w:sz="8" w:space="0"/>
            </w:tcBorders>
            <w:noWrap w:val="0"/>
            <w:vAlign w:val="center"/>
          </w:tcPr>
          <w:p w14:paraId="3D54285F">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2D00F410">
            <w:pPr>
              <w:pStyle w:val="5"/>
              <w:pageBreakBefore w:val="0"/>
              <w:kinsoku/>
              <w:wordWrap/>
              <w:overflowPunct/>
              <w:topLinePunct w:val="0"/>
              <w:bidi w:val="0"/>
              <w:snapToGrid w:val="0"/>
              <w:spacing w:line="400" w:lineRule="exact"/>
              <w:ind w:left="24"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27.1</w:t>
            </w:r>
          </w:p>
        </w:tc>
        <w:tc>
          <w:tcPr>
            <w:tcW w:w="1300" w:type="dxa"/>
            <w:tcBorders>
              <w:right w:val="single" w:color="auto" w:sz="4" w:space="0"/>
            </w:tcBorders>
            <w:noWrap w:val="0"/>
            <w:vAlign w:val="center"/>
          </w:tcPr>
          <w:p w14:paraId="79B85D5A">
            <w:pPr>
              <w:pStyle w:val="5"/>
              <w:pageBreakBefore w:val="0"/>
              <w:kinsoku/>
              <w:wordWrap/>
              <w:overflowPunct/>
              <w:topLinePunct w:val="0"/>
              <w:bidi w:val="0"/>
              <w:snapToGrid w:val="0"/>
              <w:spacing w:line="400" w:lineRule="exact"/>
              <w:ind w:left="-8"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评标办法</w:t>
            </w:r>
          </w:p>
        </w:tc>
        <w:tc>
          <w:tcPr>
            <w:tcW w:w="6300" w:type="dxa"/>
            <w:tcBorders>
              <w:left w:val="single" w:color="auto" w:sz="4" w:space="0"/>
              <w:right w:val="single" w:color="auto" w:sz="8" w:space="0"/>
            </w:tcBorders>
            <w:noWrap w:val="0"/>
            <w:vAlign w:val="center"/>
          </w:tcPr>
          <w:p w14:paraId="3D9177AE">
            <w:pPr>
              <w:pStyle w:val="5"/>
              <w:pageBreakBefore w:val="0"/>
              <w:kinsoku/>
              <w:wordWrap/>
              <w:overflowPunct/>
              <w:topLinePunct w:val="0"/>
              <w:bidi w:val="0"/>
              <w:snapToGrid w:val="0"/>
              <w:spacing w:line="400" w:lineRule="exact"/>
              <w:ind w:left="24"/>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rPr>
              <w:t>采用</w:t>
            </w:r>
            <w:r>
              <w:rPr>
                <w:rFonts w:hint="eastAsia" w:asciiTheme="minorEastAsia" w:hAnsiTheme="minorEastAsia" w:eastAsiaTheme="minorEastAsia" w:cstheme="minorEastAsia"/>
                <w:color w:val="auto"/>
                <w:sz w:val="24"/>
                <w:szCs w:val="24"/>
                <w:highlight w:val="none"/>
                <w:u w:val="single"/>
                <w:lang w:val="en-US"/>
              </w:rPr>
              <w:t xml:space="preserve"> </w:t>
            </w:r>
            <w:r>
              <w:rPr>
                <w:rFonts w:hint="eastAsia" w:asciiTheme="minorEastAsia" w:hAnsiTheme="minorEastAsia" w:eastAsiaTheme="minorEastAsia" w:cstheme="minorEastAsia"/>
                <w:color w:val="auto"/>
                <w:sz w:val="24"/>
                <w:szCs w:val="24"/>
                <w:highlight w:val="none"/>
                <w:u w:val="single"/>
                <w:lang w:eastAsia="zh-CN"/>
              </w:rPr>
              <w:t>综合评</w:t>
            </w:r>
            <w:r>
              <w:rPr>
                <w:rFonts w:hint="eastAsia" w:asciiTheme="minorEastAsia" w:hAnsiTheme="minorEastAsia" w:cstheme="minorEastAsia"/>
                <w:color w:val="auto"/>
                <w:sz w:val="24"/>
                <w:szCs w:val="24"/>
                <w:highlight w:val="none"/>
                <w:u w:val="single"/>
                <w:lang w:val="en-US" w:eastAsia="zh-CN"/>
              </w:rPr>
              <w:t>分</w:t>
            </w:r>
            <w:r>
              <w:rPr>
                <w:rFonts w:hint="eastAsia" w:asciiTheme="minorEastAsia" w:hAnsiTheme="minorEastAsia" w:eastAsiaTheme="minorEastAsia" w:cstheme="minorEastAsia"/>
                <w:color w:val="auto"/>
                <w:sz w:val="24"/>
                <w:szCs w:val="24"/>
                <w:highlight w:val="none"/>
                <w:u w:val="single"/>
                <w:lang w:eastAsia="zh-CN"/>
              </w:rPr>
              <w:t>法</w:t>
            </w:r>
            <w:r>
              <w:rPr>
                <w:rFonts w:hint="eastAsia" w:asciiTheme="minorEastAsia" w:hAnsiTheme="minorEastAsia" w:eastAsiaTheme="minorEastAsia" w:cstheme="minorEastAsia"/>
                <w:color w:val="auto"/>
                <w:sz w:val="24"/>
                <w:szCs w:val="24"/>
                <w:highlight w:val="none"/>
                <w:u w:val="single"/>
                <w:lang w:val="en-US"/>
              </w:rPr>
              <w:t xml:space="preserve"> </w:t>
            </w:r>
          </w:p>
        </w:tc>
      </w:tr>
      <w:tr w14:paraId="28A71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600" w:type="dxa"/>
            <w:tcBorders>
              <w:left w:val="single" w:color="auto" w:sz="8" w:space="0"/>
            </w:tcBorders>
            <w:noWrap w:val="0"/>
            <w:vAlign w:val="center"/>
          </w:tcPr>
          <w:p w14:paraId="3F5D4E9E">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70C78668">
            <w:pPr>
              <w:pStyle w:val="5"/>
              <w:pageBreakBefore w:val="0"/>
              <w:kinsoku/>
              <w:wordWrap/>
              <w:overflowPunct/>
              <w:topLinePunct w:val="0"/>
              <w:bidi w:val="0"/>
              <w:snapToGrid w:val="0"/>
              <w:spacing w:line="400" w:lineRule="exact"/>
              <w:ind w:left="24"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28.2</w:t>
            </w:r>
          </w:p>
        </w:tc>
        <w:tc>
          <w:tcPr>
            <w:tcW w:w="1300" w:type="dxa"/>
            <w:tcBorders>
              <w:right w:val="single" w:color="auto" w:sz="4" w:space="0"/>
            </w:tcBorders>
            <w:noWrap w:val="0"/>
            <w:vAlign w:val="center"/>
          </w:tcPr>
          <w:p w14:paraId="5849A6E6">
            <w:pPr>
              <w:pStyle w:val="5"/>
              <w:pageBreakBefore w:val="0"/>
              <w:kinsoku/>
              <w:wordWrap/>
              <w:overflowPunct/>
              <w:topLinePunct w:val="0"/>
              <w:bidi w:val="0"/>
              <w:snapToGrid w:val="0"/>
              <w:spacing w:line="400" w:lineRule="exact"/>
              <w:ind w:left="-8"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公示</w:t>
            </w:r>
          </w:p>
        </w:tc>
        <w:tc>
          <w:tcPr>
            <w:tcW w:w="6300" w:type="dxa"/>
            <w:tcBorders>
              <w:left w:val="single" w:color="auto" w:sz="4" w:space="0"/>
              <w:right w:val="single" w:color="auto" w:sz="8" w:space="0"/>
            </w:tcBorders>
            <w:noWrap w:val="0"/>
            <w:vAlign w:val="center"/>
          </w:tcPr>
          <w:p w14:paraId="5F02E31A">
            <w:pPr>
              <w:pStyle w:val="5"/>
              <w:pageBreakBefore w:val="0"/>
              <w:kinsoku/>
              <w:wordWrap/>
              <w:overflowPunct/>
              <w:topLinePunct w:val="0"/>
              <w:bidi w:val="0"/>
              <w:snapToGrid w:val="0"/>
              <w:spacing w:line="400" w:lineRule="exact"/>
              <w:ind w:left="24" w:leftChars="0" w:hanging="24" w:firstLineChars="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u w:val="none"/>
              </w:rPr>
              <w:t>平台名称及网址：</w:t>
            </w:r>
            <w:r>
              <w:rPr>
                <w:rFonts w:hint="eastAsia" w:asciiTheme="minorEastAsia" w:hAnsiTheme="minorEastAsia" w:eastAsiaTheme="minorEastAsia" w:cstheme="minorEastAsia"/>
                <w:color w:val="auto"/>
                <w:sz w:val="24"/>
                <w:szCs w:val="24"/>
                <w:highlight w:val="none"/>
                <w:u w:val="none"/>
                <w:lang w:val="en-US" w:eastAsia="zh-CN"/>
              </w:rPr>
              <w:t>福建省儿童医院官网</w:t>
            </w:r>
            <w:r>
              <w:rPr>
                <w:rFonts w:hint="eastAsia" w:asciiTheme="minorEastAsia" w:hAnsiTheme="minorEastAsia" w:eastAsiaTheme="minorEastAsia" w:cstheme="minorEastAsia"/>
                <w:color w:val="auto"/>
                <w:sz w:val="24"/>
                <w:szCs w:val="24"/>
                <w:highlight w:val="none"/>
                <w:u w:val="none"/>
              </w:rPr>
              <w:t>https://www.fjsetyy.com</w:t>
            </w:r>
          </w:p>
        </w:tc>
      </w:tr>
      <w:tr w14:paraId="00F9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600" w:type="dxa"/>
            <w:tcBorders>
              <w:left w:val="single" w:color="auto" w:sz="8" w:space="0"/>
            </w:tcBorders>
            <w:noWrap w:val="0"/>
            <w:vAlign w:val="center"/>
          </w:tcPr>
          <w:p w14:paraId="4573E28D">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52804E20">
            <w:pPr>
              <w:pStyle w:val="5"/>
              <w:pageBreakBefore w:val="0"/>
              <w:kinsoku/>
              <w:wordWrap/>
              <w:overflowPunct/>
              <w:topLinePunct w:val="0"/>
              <w:bidi w:val="0"/>
              <w:snapToGrid w:val="0"/>
              <w:spacing w:line="400" w:lineRule="exact"/>
              <w:ind w:left="24"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30.1</w:t>
            </w:r>
          </w:p>
        </w:tc>
        <w:tc>
          <w:tcPr>
            <w:tcW w:w="1300" w:type="dxa"/>
            <w:tcBorders>
              <w:right w:val="single" w:color="auto" w:sz="4" w:space="0"/>
            </w:tcBorders>
            <w:noWrap w:val="0"/>
            <w:vAlign w:val="center"/>
          </w:tcPr>
          <w:p w14:paraId="75DD3710">
            <w:pPr>
              <w:pStyle w:val="5"/>
              <w:pageBreakBefore w:val="0"/>
              <w:kinsoku/>
              <w:wordWrap/>
              <w:overflowPunct/>
              <w:topLinePunct w:val="0"/>
              <w:bidi w:val="0"/>
              <w:snapToGrid w:val="0"/>
              <w:spacing w:line="400" w:lineRule="exact"/>
              <w:ind w:left="-8"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合同签订</w:t>
            </w:r>
          </w:p>
        </w:tc>
        <w:tc>
          <w:tcPr>
            <w:tcW w:w="6300" w:type="dxa"/>
            <w:tcBorders>
              <w:left w:val="single" w:color="auto" w:sz="4" w:space="0"/>
              <w:right w:val="single" w:color="auto" w:sz="8" w:space="0"/>
            </w:tcBorders>
            <w:noWrap w:val="0"/>
            <w:vAlign w:val="center"/>
          </w:tcPr>
          <w:p w14:paraId="2C25B68E">
            <w:pPr>
              <w:pStyle w:val="5"/>
              <w:pageBreakBefore w:val="0"/>
              <w:kinsoku/>
              <w:wordWrap/>
              <w:overflowPunct/>
              <w:topLinePunct w:val="0"/>
              <w:bidi w:val="0"/>
              <w:snapToGrid w:val="0"/>
              <w:spacing w:line="400" w:lineRule="exact"/>
              <w:ind w:left="-9" w:leftChars="-4"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中标人在收到中标通知书后</w:t>
            </w:r>
            <w:r>
              <w:rPr>
                <w:rFonts w:hint="eastAsia" w:asciiTheme="minorEastAsia" w:hAnsiTheme="minorEastAsia" w:eastAsiaTheme="minorEastAsia" w:cstheme="minorEastAsia"/>
                <w:b/>
                <w:color w:val="auto"/>
                <w:sz w:val="24"/>
                <w:szCs w:val="24"/>
                <w:highlight w:val="none"/>
                <w:u w:val="single"/>
                <w:lang w:val="en-US"/>
              </w:rPr>
              <w:t xml:space="preserve"> </w:t>
            </w:r>
            <w:r>
              <w:rPr>
                <w:rFonts w:hint="eastAsia" w:asciiTheme="minorEastAsia" w:hAnsiTheme="minorEastAsia" w:cstheme="minorEastAsia"/>
                <w:b/>
                <w:color w:val="auto"/>
                <w:sz w:val="24"/>
                <w:szCs w:val="24"/>
                <w:highlight w:val="none"/>
                <w:u w:val="single"/>
                <w:lang w:val="en-US" w:eastAsia="zh-CN"/>
              </w:rPr>
              <w:t>30</w:t>
            </w:r>
            <w:r>
              <w:rPr>
                <w:rFonts w:hint="eastAsia" w:asciiTheme="minorEastAsia" w:hAnsiTheme="minorEastAsia" w:eastAsiaTheme="minorEastAsia" w:cstheme="minorEastAsia"/>
                <w:b/>
                <w:color w:val="auto"/>
                <w:sz w:val="24"/>
                <w:szCs w:val="24"/>
                <w:highlight w:val="none"/>
                <w:u w:val="single"/>
                <w:lang w:val="en-US"/>
              </w:rPr>
              <w:t xml:space="preserve"> </w:t>
            </w:r>
            <w:r>
              <w:rPr>
                <w:rFonts w:hint="eastAsia" w:asciiTheme="minorEastAsia" w:hAnsiTheme="minorEastAsia" w:eastAsiaTheme="minorEastAsia" w:cstheme="minorEastAsia"/>
                <w:b/>
                <w:color w:val="auto"/>
                <w:sz w:val="24"/>
                <w:szCs w:val="24"/>
                <w:highlight w:val="none"/>
              </w:rPr>
              <w:t>天内，应派代表与招标人联系，商讨签订合同事宜。</w:t>
            </w:r>
          </w:p>
        </w:tc>
      </w:tr>
      <w:tr w14:paraId="2A01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600" w:type="dxa"/>
            <w:tcBorders>
              <w:left w:val="single" w:color="auto" w:sz="8" w:space="0"/>
            </w:tcBorders>
            <w:noWrap w:val="0"/>
            <w:vAlign w:val="center"/>
          </w:tcPr>
          <w:p w14:paraId="54BA342B">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725CEC60">
            <w:pPr>
              <w:pStyle w:val="5"/>
              <w:pageBreakBefore w:val="0"/>
              <w:kinsoku/>
              <w:wordWrap/>
              <w:overflowPunct/>
              <w:topLinePunct w:val="0"/>
              <w:bidi w:val="0"/>
              <w:snapToGrid w:val="0"/>
              <w:spacing w:line="400" w:lineRule="exact"/>
              <w:ind w:left="24"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33.3</w:t>
            </w:r>
          </w:p>
        </w:tc>
        <w:tc>
          <w:tcPr>
            <w:tcW w:w="1300" w:type="dxa"/>
            <w:tcBorders>
              <w:right w:val="single" w:color="auto" w:sz="4" w:space="0"/>
            </w:tcBorders>
            <w:noWrap w:val="0"/>
            <w:vAlign w:val="center"/>
          </w:tcPr>
          <w:p w14:paraId="64D5C565">
            <w:pPr>
              <w:pStyle w:val="5"/>
              <w:pageBreakBefore w:val="0"/>
              <w:kinsoku/>
              <w:wordWrap/>
              <w:overflowPunct/>
              <w:topLinePunct w:val="0"/>
              <w:bidi w:val="0"/>
              <w:snapToGrid w:val="0"/>
              <w:spacing w:line="400" w:lineRule="exact"/>
              <w:ind w:left="-8"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未中标方案补偿</w:t>
            </w:r>
          </w:p>
        </w:tc>
        <w:tc>
          <w:tcPr>
            <w:tcW w:w="6300" w:type="dxa"/>
            <w:tcBorders>
              <w:left w:val="single" w:color="auto" w:sz="4" w:space="0"/>
              <w:right w:val="single" w:color="auto" w:sz="8" w:space="0"/>
            </w:tcBorders>
            <w:noWrap w:val="0"/>
            <w:vAlign w:val="center"/>
          </w:tcPr>
          <w:p w14:paraId="1F58F19E">
            <w:pPr>
              <w:pStyle w:val="5"/>
              <w:pageBreakBefore w:val="0"/>
              <w:kinsoku/>
              <w:wordWrap/>
              <w:overflowPunct/>
              <w:topLinePunct w:val="0"/>
              <w:bidi w:val="0"/>
              <w:snapToGrid w:val="0"/>
              <w:spacing w:line="400" w:lineRule="exact"/>
              <w:ind w:left="-9" w:leftChars="-4" w:firstLineChars="200"/>
              <w:jc w:val="both"/>
              <w:textAlignment w:val="auto"/>
              <w:rPr>
                <w:rFonts w:hint="eastAsia" w:asciiTheme="minorEastAsia" w:hAnsiTheme="minorEastAsia" w:eastAsiaTheme="minorEastAsia" w:cstheme="minorEastAsia"/>
                <w:i/>
                <w:color w:val="auto"/>
                <w:sz w:val="24"/>
                <w:szCs w:val="24"/>
                <w:highlight w:val="none"/>
                <w:lang w:val="en-US"/>
              </w:rPr>
            </w:pPr>
            <w:r>
              <w:rPr>
                <w:rFonts w:hint="eastAsia" w:asciiTheme="minorEastAsia" w:hAnsiTheme="minorEastAsia" w:eastAsiaTheme="minorEastAsia" w:cstheme="minorEastAsia"/>
                <w:i/>
                <w:color w:val="auto"/>
                <w:sz w:val="24"/>
                <w:szCs w:val="24"/>
                <w:highlight w:val="none"/>
                <w:lang w:val="en-US"/>
              </w:rPr>
              <w:t>/</w:t>
            </w:r>
          </w:p>
        </w:tc>
      </w:tr>
      <w:tr w14:paraId="5A7C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0" w:type="dxa"/>
            <w:tcBorders>
              <w:left w:val="single" w:color="auto" w:sz="8" w:space="0"/>
            </w:tcBorders>
            <w:noWrap w:val="0"/>
            <w:vAlign w:val="center"/>
          </w:tcPr>
          <w:p w14:paraId="20D6E2A4">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618F7B4D">
            <w:pPr>
              <w:pStyle w:val="5"/>
              <w:pageBreakBefore w:val="0"/>
              <w:kinsoku/>
              <w:wordWrap/>
              <w:overflowPunct/>
              <w:topLinePunct w:val="0"/>
              <w:bidi w:val="0"/>
              <w:snapToGrid w:val="0"/>
              <w:spacing w:line="400" w:lineRule="exact"/>
              <w:ind w:left="24"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34.1</w:t>
            </w:r>
          </w:p>
        </w:tc>
        <w:tc>
          <w:tcPr>
            <w:tcW w:w="1300" w:type="dxa"/>
            <w:tcBorders>
              <w:right w:val="single" w:color="auto" w:sz="4" w:space="0"/>
            </w:tcBorders>
            <w:noWrap w:val="0"/>
            <w:vAlign w:val="center"/>
          </w:tcPr>
          <w:p w14:paraId="334B9FDF">
            <w:pPr>
              <w:pStyle w:val="5"/>
              <w:pageBreakBefore w:val="0"/>
              <w:kinsoku/>
              <w:wordWrap/>
              <w:overflowPunct/>
              <w:topLinePunct w:val="0"/>
              <w:bidi w:val="0"/>
              <w:snapToGrid w:val="0"/>
              <w:spacing w:line="400" w:lineRule="exact"/>
              <w:ind w:left="-8" w:firstLine="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监管部门</w:t>
            </w:r>
          </w:p>
        </w:tc>
        <w:tc>
          <w:tcPr>
            <w:tcW w:w="6300" w:type="dxa"/>
            <w:tcBorders>
              <w:left w:val="single" w:color="auto" w:sz="4" w:space="0"/>
              <w:right w:val="single" w:color="auto" w:sz="8" w:space="0"/>
            </w:tcBorders>
            <w:noWrap w:val="0"/>
            <w:vAlign w:val="top"/>
          </w:tcPr>
          <w:p w14:paraId="1293416F">
            <w:pPr>
              <w:pStyle w:val="5"/>
              <w:pageBreakBefore w:val="0"/>
              <w:kinsoku/>
              <w:wordWrap/>
              <w:overflowPunct/>
              <w:topLinePunct w:val="0"/>
              <w:bidi w:val="0"/>
              <w:snapToGrid w:val="0"/>
              <w:spacing w:line="400" w:lineRule="exact"/>
              <w:ind w:left="24"/>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z w:val="24"/>
                <w:szCs w:val="24"/>
                <w:highlight w:val="none"/>
              </w:rPr>
              <w:t>部门名称：</w:t>
            </w:r>
            <w:r>
              <w:rPr>
                <w:rFonts w:hint="eastAsia" w:asciiTheme="minorEastAsia" w:hAnsiTheme="minorEastAsia" w:eastAsiaTheme="minorEastAsia" w:cstheme="minorEastAsia"/>
                <w:color w:val="auto"/>
                <w:sz w:val="24"/>
                <w:szCs w:val="24"/>
                <w:highlight w:val="none"/>
                <w:lang w:val="en-US" w:eastAsia="zh-CN"/>
              </w:rPr>
              <w:t>福建省儿童医院审计处</w:t>
            </w:r>
          </w:p>
          <w:p w14:paraId="134A01F4">
            <w:pPr>
              <w:pStyle w:val="5"/>
              <w:pageBreakBefore w:val="0"/>
              <w:kinsoku/>
              <w:wordWrap/>
              <w:overflowPunct/>
              <w:topLinePunct w:val="0"/>
              <w:bidi w:val="0"/>
              <w:snapToGrid w:val="0"/>
              <w:spacing w:line="400" w:lineRule="exact"/>
              <w:ind w:left="24"/>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地点：</w:t>
            </w:r>
            <w:r>
              <w:rPr>
                <w:rFonts w:hint="eastAsia" w:asciiTheme="minorEastAsia" w:hAnsiTheme="minorEastAsia" w:eastAsiaTheme="minorEastAsia" w:cstheme="minorEastAsia"/>
                <w:color w:val="auto"/>
                <w:sz w:val="24"/>
                <w:szCs w:val="24"/>
                <w:highlight w:val="none"/>
                <w:lang w:val="en-US" w:eastAsia="zh-CN"/>
              </w:rPr>
              <w:t>福建省儿童医院</w:t>
            </w:r>
          </w:p>
          <w:p w14:paraId="71D5DB4F">
            <w:pPr>
              <w:pStyle w:val="5"/>
              <w:pageBreakBefore w:val="0"/>
              <w:kinsoku/>
              <w:wordWrap/>
              <w:overflowPunct/>
              <w:topLinePunct w:val="0"/>
              <w:bidi w:val="0"/>
              <w:snapToGrid w:val="0"/>
              <w:spacing w:line="400" w:lineRule="exact"/>
              <w:ind w:left="24"/>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电话：</w:t>
            </w:r>
            <w:r>
              <w:rPr>
                <w:rFonts w:hint="eastAsia" w:asciiTheme="minorEastAsia" w:hAnsiTheme="minorEastAsia" w:eastAsiaTheme="minorEastAsia" w:cstheme="minorEastAsia"/>
                <w:color w:val="auto"/>
                <w:sz w:val="24"/>
                <w:szCs w:val="24"/>
                <w:highlight w:val="none"/>
                <w:lang w:val="en-US" w:eastAsia="zh-CN"/>
              </w:rPr>
              <w:t>0591-86112266</w:t>
            </w:r>
          </w:p>
        </w:tc>
      </w:tr>
      <w:tr w14:paraId="6F74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600" w:type="dxa"/>
            <w:tcBorders>
              <w:left w:val="single" w:color="auto" w:sz="8" w:space="0"/>
            </w:tcBorders>
            <w:noWrap w:val="0"/>
            <w:vAlign w:val="center"/>
          </w:tcPr>
          <w:p w14:paraId="0B08CBEE">
            <w:pPr>
              <w:pStyle w:val="5"/>
              <w:pageBreakBefore w:val="0"/>
              <w:numPr>
                <w:ilvl w:val="0"/>
                <w:numId w:val="1"/>
              </w:numPr>
              <w:kinsoku/>
              <w:wordWrap/>
              <w:overflowPunct/>
              <w:topLinePunct w:val="0"/>
              <w:bidi w:val="0"/>
              <w:snapToGrid w:val="0"/>
              <w:spacing w:line="400" w:lineRule="exact"/>
              <w:jc w:val="center"/>
              <w:textAlignment w:val="auto"/>
              <w:rPr>
                <w:rFonts w:hint="eastAsia" w:asciiTheme="minorEastAsia" w:hAnsiTheme="minorEastAsia" w:eastAsiaTheme="minorEastAsia" w:cstheme="minorEastAsia"/>
                <w:color w:val="auto"/>
                <w:sz w:val="24"/>
                <w:szCs w:val="24"/>
                <w:highlight w:val="none"/>
              </w:rPr>
            </w:pPr>
          </w:p>
        </w:tc>
        <w:tc>
          <w:tcPr>
            <w:tcW w:w="1000" w:type="dxa"/>
            <w:noWrap w:val="0"/>
            <w:vAlign w:val="center"/>
          </w:tcPr>
          <w:p w14:paraId="6F688010">
            <w:pPr>
              <w:pStyle w:val="5"/>
              <w:pageBreakBefore w:val="0"/>
              <w:kinsoku/>
              <w:wordWrap/>
              <w:overflowPunct/>
              <w:topLinePunct w:val="0"/>
              <w:bidi w:val="0"/>
              <w:snapToGrid w:val="0"/>
              <w:spacing w:line="400" w:lineRule="exact"/>
              <w:ind w:left="24" w:firstLine="0"/>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35.1</w:t>
            </w:r>
          </w:p>
        </w:tc>
        <w:tc>
          <w:tcPr>
            <w:tcW w:w="1300" w:type="dxa"/>
            <w:tcBorders>
              <w:right w:val="single" w:color="auto" w:sz="4" w:space="0"/>
            </w:tcBorders>
            <w:noWrap w:val="0"/>
            <w:vAlign w:val="center"/>
          </w:tcPr>
          <w:p w14:paraId="10B050AF">
            <w:pPr>
              <w:pStyle w:val="5"/>
              <w:pageBreakBefore w:val="0"/>
              <w:kinsoku/>
              <w:wordWrap/>
              <w:overflowPunct/>
              <w:topLinePunct w:val="0"/>
              <w:bidi w:val="0"/>
              <w:snapToGrid w:val="0"/>
              <w:spacing w:line="400" w:lineRule="exact"/>
              <w:ind w:left="263" w:hanging="240"/>
              <w:jc w:val="center"/>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其他</w:t>
            </w:r>
          </w:p>
        </w:tc>
        <w:tc>
          <w:tcPr>
            <w:tcW w:w="6300" w:type="dxa"/>
            <w:tcBorders>
              <w:left w:val="single" w:color="auto" w:sz="4" w:space="0"/>
              <w:right w:val="single" w:color="auto" w:sz="8" w:space="0"/>
            </w:tcBorders>
            <w:noWrap w:val="0"/>
            <w:vAlign w:val="top"/>
          </w:tcPr>
          <w:p w14:paraId="19F6D0F6">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1、中标人在本项目投标过程中有违法行为导致中标被依法确认无效的，其投标保证金将不予退还。</w:t>
            </w:r>
          </w:p>
          <w:p w14:paraId="78A0C29D">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2、履约担保金额：为合同总额的10%；</w:t>
            </w:r>
          </w:p>
          <w:p w14:paraId="020FDBBD">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①履约担保：履约担保金额为合同总额的10％，设计人应在合同签订之前向招标人提交履约担保。</w:t>
            </w:r>
          </w:p>
          <w:p w14:paraId="457DAE61">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②履约担保形式：履约担保以现金或银行保函或工程担保或建设工程保证保险的方式提交。以现金或银行保函或工程担保或建设工程保证保险的方式提交。现金及银行保函方式须满足闽建[2013]29号的规定，工程担保及建设工程保证保险方式须满足闽建[2015]29号文的规定。履约担保以现金形式递交的，应由设计人基本账户转出；以银行保函递交的，应由设计人账户所在银行出具,所需费用由设计人承担；采用工程担保保函形式递交的，出具担保保函的工程担保公司应当向项目所在地的设区市住房城乡建设主管部门备案，所需费用由设计人承担；采用建设工程保证保险形式递交的，保险公司提供的保险条款应当经中国保监会批准或备案，且保险公司应通过福建省住建厅政务网站，将保险公司经营单位信息、投保单（范本）以及保险合同含条款（范本）向社会主动公开，所需费用由设计人承担。</w:t>
            </w:r>
          </w:p>
          <w:p w14:paraId="2A1B4BD3">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履约担保若为银行保函或工程担保或建设工程保证保险的方式提交的，设计人应对履约担保材料的真实性负责，若发现提供虚假材料的，设计单位承担一切后果并处罚如下：</w:t>
            </w:r>
          </w:p>
          <w:p w14:paraId="551F689B">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①处罚违约金10万元；</w:t>
            </w:r>
          </w:p>
          <w:p w14:paraId="6CA1D7BA">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②重新提供履约担保必须以现金方式提交；</w:t>
            </w:r>
          </w:p>
          <w:p w14:paraId="131FCF59">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③招标人如实上报行政主管部门，列入不良记录。</w:t>
            </w:r>
          </w:p>
          <w:p w14:paraId="45509042">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③履约担保提交时间：收到中标通知书之日起7天内，签订合同协议书之前提交。如果设计人未按规定提交履约担保的，招标人可以视为其已放弃中标资格而不予签订合同，并没收投标保证金，并不向设计人支付包括设计方案补偿费用在内的任何费用，招标人将重新招标确定中标人。</w:t>
            </w:r>
          </w:p>
          <w:p w14:paraId="567386D7">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④履约担保期限：履约担保有效期应持续到工程竣工验收合格之日止。</w:t>
            </w:r>
          </w:p>
          <w:p w14:paraId="2BB0FC10">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⑤履约担保退还：履约担保在取得工程整体竣工验收证书后无息退还给承包人。</w:t>
            </w:r>
          </w:p>
          <w:p w14:paraId="7558A5E5">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3、单位负责人为同一人或者存在控股、管理关系的不同单位，不得同时参加本招标项目投标。</w:t>
            </w:r>
          </w:p>
          <w:p w14:paraId="4C8A18F1">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招标人在授予合同之前有权对中标人递交的投标文件资料进行核实，投标人应对投标文件资料的真实性负责，如发现其所提交的资料不真实，招标人将视其为以弄虚作假方式骗取中标，其中标无效，没收其投标保证金，给招标人造成的损失超过投标保证金数额的，还应当对超过部分予以赔偿，同时依法承担相应法律责任。</w:t>
            </w:r>
          </w:p>
          <w:p w14:paraId="1057E380">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5、若因特殊原因，造成部分工程停建、缓建或规模减小或扩大，工程量根据实际完成量并按照本投标须知前附表中有关设计费计算方法进行计算。中标人应无条件配合，招标人不另外承担违约责任。</w:t>
            </w:r>
          </w:p>
          <w:p w14:paraId="1A213E92">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6、投标人如发生以下情况之一的，将被取消中标资格：</w:t>
            </w:r>
          </w:p>
          <w:p w14:paraId="59E2C06D">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1）中标人不能按照招标文件规定提交履约担保的；</w:t>
            </w:r>
          </w:p>
          <w:p w14:paraId="748D401B">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2）中标人在与业主签订合同时另行加入不合理条件或者更改合同的实质性内容的；</w:t>
            </w:r>
          </w:p>
          <w:p w14:paraId="205B988E">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3）中标人在本工程投标过程有违法行为的；</w:t>
            </w:r>
          </w:p>
          <w:p w14:paraId="600E39A7">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4)法律法规规定的其他情况。</w:t>
            </w:r>
          </w:p>
          <w:p w14:paraId="5F25D10D">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7、投标文件格式中的“签章”均指的是签字或盖章。</w:t>
            </w:r>
          </w:p>
          <w:p w14:paraId="213979B8">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8、设计人未经招标人审查的所有项目图纸均不允许出图。</w:t>
            </w:r>
          </w:p>
          <w:p w14:paraId="0289111E">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9、若投标人为企业注册地在福建省行政区域外的投标人，中标后应按闽建[2014]12号、闽建设办〔2015〕1号文相关规定完成信息登记备案。</w:t>
            </w:r>
          </w:p>
          <w:p w14:paraId="7E72142A">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10、中标后，中标人必须与招标人深入沟通，了解招标人对该项目的设计要求。</w:t>
            </w:r>
          </w:p>
          <w:p w14:paraId="2AACC67B">
            <w:pPr>
              <w:pStyle w:val="5"/>
              <w:pageBreakBefore w:val="0"/>
              <w:kinsoku/>
              <w:wordWrap/>
              <w:overflowPunct/>
              <w:topLinePunct w:val="0"/>
              <w:bidi w:val="0"/>
              <w:snapToGrid w:val="0"/>
              <w:spacing w:line="400" w:lineRule="exact"/>
              <w:ind w:firstLineChars="200"/>
              <w:jc w:val="left"/>
              <w:textAlignment w:val="auto"/>
              <w:rPr>
                <w:rFonts w:hint="eastAsia" w:asciiTheme="minorEastAsia" w:hAnsiTheme="minorEastAsia" w:eastAsiaTheme="minorEastAsia" w:cstheme="minorEastAsia"/>
                <w:b/>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11、</w:t>
            </w:r>
            <w:r>
              <w:rPr>
                <w:rFonts w:hint="eastAsia" w:asciiTheme="minorEastAsia" w:hAnsiTheme="minorEastAsia" w:eastAsiaTheme="minorEastAsia" w:cstheme="minorEastAsia"/>
                <w:color w:val="auto"/>
                <w:sz w:val="24"/>
                <w:szCs w:val="24"/>
                <w:highlight w:val="none"/>
              </w:rPr>
              <w:t>投标人中标后应按有关规定向建设主管部门办理备案手续</w:t>
            </w:r>
            <w:r>
              <w:rPr>
                <w:rFonts w:hint="eastAsia" w:asciiTheme="minorEastAsia" w:hAnsiTheme="minorEastAsia" w:eastAsiaTheme="minorEastAsia" w:cstheme="minorEastAsia"/>
                <w:color w:val="auto"/>
                <w:sz w:val="24"/>
                <w:szCs w:val="24"/>
                <w:highlight w:val="none"/>
                <w:lang w:eastAsia="zh-CN"/>
              </w:rPr>
              <w:t>（如有需要的话）</w:t>
            </w:r>
            <w:r>
              <w:rPr>
                <w:rFonts w:hint="eastAsia" w:asciiTheme="minorEastAsia" w:hAnsiTheme="minorEastAsia" w:eastAsiaTheme="minorEastAsia" w:cstheme="minorEastAsia"/>
                <w:color w:val="auto"/>
                <w:sz w:val="24"/>
                <w:szCs w:val="24"/>
                <w:highlight w:val="none"/>
              </w:rPr>
              <w:t>。</w:t>
            </w:r>
          </w:p>
        </w:tc>
      </w:tr>
    </w:tbl>
    <w:p w14:paraId="19A9B074">
      <w:pPr>
        <w:pageBreakBefore w:val="0"/>
        <w:kinsoku/>
        <w:wordWrap/>
        <w:overflowPunct/>
        <w:topLinePunct w:val="0"/>
        <w:bidi w:val="0"/>
        <w:spacing w:line="400" w:lineRule="exact"/>
        <w:textAlignment w:val="auto"/>
        <w:rPr>
          <w:b/>
          <w:sz w:val="28"/>
          <w:highlight w:val="none"/>
        </w:rPr>
      </w:pPr>
      <w:r>
        <w:rPr>
          <w:b/>
          <w:sz w:val="28"/>
          <w:highlight w:val="none"/>
        </w:rPr>
        <w:br w:type="page"/>
      </w:r>
    </w:p>
    <w:p w14:paraId="1B931870">
      <w:pPr>
        <w:pStyle w:val="28"/>
        <w:pageBreakBefore w:val="0"/>
        <w:kinsoku/>
        <w:wordWrap/>
        <w:overflowPunct/>
        <w:topLinePunct w:val="0"/>
        <w:bidi w:val="0"/>
        <w:spacing w:line="400" w:lineRule="exact"/>
        <w:jc w:val="center"/>
        <w:textAlignment w:val="auto"/>
        <w:outlineLvl w:val="2"/>
        <w:rPr>
          <w:highlight w:val="none"/>
        </w:rPr>
      </w:pPr>
      <w:r>
        <w:rPr>
          <w:b/>
          <w:sz w:val="28"/>
          <w:highlight w:val="none"/>
        </w:rPr>
        <w:t>专项附件： 评审的标准和方法</w:t>
      </w:r>
    </w:p>
    <w:p w14:paraId="198E27A2">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一、磋商小组</w:t>
      </w:r>
    </w:p>
    <w:p w14:paraId="27DEC39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1.1采购人根据项目的特点依法组建磋商小组。</w:t>
      </w:r>
    </w:p>
    <w:p w14:paraId="2B8658E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1.2磋商小组</w:t>
      </w:r>
    </w:p>
    <w:p w14:paraId="686A3026">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由</w:t>
      </w:r>
      <w:r>
        <w:rPr>
          <w:rFonts w:hint="eastAsia" w:ascii="宋体" w:hAnsi="宋体" w:eastAsia="宋体" w:cs="宋体"/>
          <w:sz w:val="24"/>
          <w:szCs w:val="24"/>
          <w:highlight w:val="none"/>
          <w:lang w:val="en-US" w:eastAsia="zh-CN"/>
        </w:rPr>
        <w:t>采购科室、需求科室</w:t>
      </w:r>
      <w:r>
        <w:rPr>
          <w:rFonts w:hint="eastAsia" w:ascii="宋体" w:hAnsi="宋体" w:eastAsia="宋体" w:cs="宋体"/>
          <w:sz w:val="24"/>
          <w:szCs w:val="24"/>
          <w:highlight w:val="none"/>
        </w:rPr>
        <w:t>和</w:t>
      </w:r>
      <w:r>
        <w:rPr>
          <w:rFonts w:hint="eastAsia" w:ascii="宋体" w:hAnsi="宋体" w:eastAsia="宋体" w:cs="宋体"/>
          <w:sz w:val="24"/>
          <w:szCs w:val="24"/>
          <w:highlight w:val="none"/>
          <w:lang w:val="en-US" w:eastAsia="zh-CN"/>
        </w:rPr>
        <w:t>财务科室代表</w:t>
      </w:r>
      <w:r>
        <w:rPr>
          <w:rFonts w:hint="eastAsia" w:ascii="宋体" w:hAnsi="宋体" w:eastAsia="宋体" w:cs="宋体"/>
          <w:sz w:val="24"/>
          <w:szCs w:val="24"/>
          <w:highlight w:val="none"/>
        </w:rPr>
        <w:t>共</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人组成，其中由</w:t>
      </w:r>
      <w:r>
        <w:rPr>
          <w:rFonts w:hint="eastAsia" w:ascii="宋体" w:hAnsi="宋体" w:eastAsia="宋体" w:cs="宋体"/>
          <w:sz w:val="24"/>
          <w:szCs w:val="24"/>
          <w:highlight w:val="none"/>
          <w:lang w:val="en-US" w:eastAsia="zh-CN"/>
        </w:rPr>
        <w:t>后勤保障部、信息中心、设备处</w:t>
      </w:r>
      <w:r>
        <w:rPr>
          <w:rFonts w:hint="eastAsia" w:ascii="宋体" w:hAnsi="宋体" w:eastAsia="宋体" w:cs="宋体"/>
          <w:sz w:val="24"/>
          <w:szCs w:val="24"/>
          <w:highlight w:val="none"/>
        </w:rPr>
        <w:t>产生的评审专家</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人，由</w:t>
      </w:r>
      <w:r>
        <w:rPr>
          <w:rFonts w:hint="eastAsia" w:ascii="宋体" w:hAnsi="宋体" w:eastAsia="宋体" w:cs="宋体"/>
          <w:sz w:val="24"/>
          <w:szCs w:val="24"/>
          <w:highlight w:val="none"/>
          <w:lang w:val="en-US" w:eastAsia="zh-CN"/>
        </w:rPr>
        <w:t>财务科室</w:t>
      </w:r>
      <w:r>
        <w:rPr>
          <w:rFonts w:hint="eastAsia" w:ascii="宋体" w:hAnsi="宋体" w:eastAsia="宋体" w:cs="宋体"/>
          <w:sz w:val="24"/>
          <w:szCs w:val="24"/>
          <w:highlight w:val="none"/>
        </w:rPr>
        <w:t>派出的采购人代表1人。</w:t>
      </w:r>
    </w:p>
    <w:p w14:paraId="2E20E16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1.3磋商小组负责具体磋商和评审事务，并按照下列原则依法独立履行有关职责：</w:t>
      </w:r>
    </w:p>
    <w:p w14:paraId="20C9ED1C">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1.3.1评审应保护国家利益、社会公共利益和各方当事人合法权益，提高采购效益，保证项目质量。</w:t>
      </w:r>
    </w:p>
    <w:p w14:paraId="6059C4C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1.3.2评审应遵循公平、公正、科学、严谨和择优原则。</w:t>
      </w:r>
    </w:p>
    <w:p w14:paraId="652E9323">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1.3.3评审的依据是磋商文件和响应文件，磋商文件中没有规定的评审标准不得作为评审依据。</w:t>
      </w:r>
    </w:p>
    <w:p w14:paraId="77C6532D">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1.3.4磋商小组应按照磋商文件规定推荐成交候选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或根据采购人的授权确定成交人。</w:t>
      </w:r>
    </w:p>
    <w:p w14:paraId="4668329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1.3.5评审应遵守下列评审纪律：</w:t>
      </w:r>
    </w:p>
    <w:p w14:paraId="4099E726">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①评审情况不得私自外泄，有关信息由采购人或其委托的代理机构统一对外发布。</w:t>
      </w:r>
    </w:p>
    <w:p w14:paraId="6FC4465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②对采购人或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提供的要求保密的资料，不得摘记翻印和外传。</w:t>
      </w:r>
    </w:p>
    <w:p w14:paraId="5FB01EED">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③不得收受</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或有关人员的任何礼物，不得串联鼓动其他人袒护某</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。若与</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存在利害关系，则应主动声明并回避。</w:t>
      </w:r>
    </w:p>
    <w:p w14:paraId="5A6FE18E">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④全体磋商小组成员应按照磋商文件规定进行评审，一切认定事项应查有实据且不得弄虚作假。</w:t>
      </w:r>
    </w:p>
    <w:p w14:paraId="76B9122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⑤评审中应充分发扬民主，推荐成交人候选人或根据采购人授权确定成交人后要服从评审报告。</w:t>
      </w:r>
    </w:p>
    <w:p w14:paraId="04DF15C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※对违反评审纪律的评委，将取消其评委资格，对评审工作造成严重损失者将予以通报批评乃至追究法律责任。</w:t>
      </w:r>
    </w:p>
    <w:p w14:paraId="1D510FDA">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二、磋商程序</w:t>
      </w:r>
    </w:p>
    <w:p w14:paraId="528754E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2.1磋商程序按照磋商文件第二章第2节“竞争性磋商须知”第14 条“磋商程序以及评审标准和方法”的相关条款规定执行。</w:t>
      </w:r>
    </w:p>
    <w:p w14:paraId="6BC9F06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2.2磋商文件不能详细列明采购标的的技术、服务要求，需经磋商由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提供最终设计方案或解决方案的，磋商结束后，磋商小组应当按照少数服从多数的原则投票推荐3家以上</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的设计方案或者解决方案，并要求其在规定时间内提交最后报价。属于《政府采购竞争性磋商采购方式管理暂行办法》等相关法律法规及财政部门颁布的规范性文件允许的两家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进行竞争性磋商采购情形，则提交最后报价的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可以为两家。</w:t>
      </w:r>
    </w:p>
    <w:p w14:paraId="6D07E5A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2.3只有资格审查和实质性响应审查均合格且按规定提交最后报价的合格</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才能参加综合评分。</w:t>
      </w:r>
    </w:p>
    <w:p w14:paraId="4A046B3D">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三、综合评分的标准和方法</w:t>
      </w:r>
    </w:p>
    <w:p w14:paraId="4BBD2B0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3.1磋商小组将采用综合评分法对提交最后报价的合格</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的响应文件和最后报价进行综合评分。如果磋商项目有多个采购包，则按相应采购包分别进行，具体综合评分的标准和方法如下：</w:t>
      </w:r>
    </w:p>
    <w:p w14:paraId="7DED7834">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3.3.1磋商小组将对相应采购包提交最后报价的合格</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从技术、商务及报价部分分别进行评议并评分，并汇总出技术、商务及报价部分的综合得分。各采购包综合得分最高的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将被推荐为第一成交候选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，综合得分第二高的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将被推荐为第二成交候选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，综合得分第三高的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将被推荐为第三成交候选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（属于《政府采购竞争性磋商采购方式管理暂行办法》等相关法律法规及财政部门颁布的规范性文件允许的两家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进行竞争性磋商采购情形，则不推荐第三成交候选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）。如果出现相同的综合得分，则最后报价低的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排序在前优先推荐；如果最后报价仍相同，则技术部分得分高的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优先排序在前推荐。</w:t>
      </w:r>
    </w:p>
    <w:p w14:paraId="02AC6A8A">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3.3.2具体评审标准和方法：</w:t>
      </w:r>
    </w:p>
    <w:p w14:paraId="298E77F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 响应文件满足磋商文件全部实质性要求，且按照评审因素的量化指标综合评审总得分从高到低顺序推荐3名以上成交候选人</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，其中评审总得分最高的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为第一成交候选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0B5F6A1E">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（2）每个</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的评审总得分FA＝F1×A1＋F2×A2＋F3×A3＋F4×A4，其中：F1指价格项评审因素得分、F2指技术项评审因素得分、F3指商务项评审因素得分</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F</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指企业信用</w:t>
      </w:r>
      <w:r>
        <w:rPr>
          <w:rFonts w:hint="eastAsia" w:ascii="宋体" w:hAnsi="宋体" w:eastAsia="宋体" w:cs="宋体"/>
          <w:sz w:val="24"/>
          <w:szCs w:val="24"/>
          <w:highlight w:val="none"/>
          <w:lang w:val="en-US" w:eastAsia="zh-CN"/>
        </w:rPr>
        <w:t>项</w:t>
      </w:r>
      <w:r>
        <w:rPr>
          <w:rFonts w:hint="eastAsia" w:ascii="宋体" w:hAnsi="宋体" w:eastAsia="宋体" w:cs="宋体"/>
          <w:sz w:val="24"/>
          <w:szCs w:val="24"/>
          <w:highlight w:val="none"/>
        </w:rPr>
        <w:t>评审因素得分，A1指价格项评审因素所占的权重、A2指技术项评审因素所占的权重、A3指商务项评审因素所占的权重、A</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指企业信用</w:t>
      </w:r>
      <w:r>
        <w:rPr>
          <w:rFonts w:hint="eastAsia" w:ascii="宋体" w:hAnsi="宋体" w:eastAsia="宋体" w:cs="宋体"/>
          <w:sz w:val="24"/>
          <w:szCs w:val="24"/>
          <w:highlight w:val="none"/>
          <w:lang w:val="en-US" w:eastAsia="zh-CN"/>
        </w:rPr>
        <w:t>项</w:t>
      </w:r>
      <w:r>
        <w:rPr>
          <w:rFonts w:hint="eastAsia" w:ascii="宋体" w:hAnsi="宋体" w:eastAsia="宋体" w:cs="宋体"/>
          <w:sz w:val="24"/>
          <w:szCs w:val="24"/>
          <w:highlight w:val="none"/>
        </w:rPr>
        <w:t>评审因素所占的权重，A1＋A2＋A3</w:t>
      </w:r>
      <w:r>
        <w:rPr>
          <w:rFonts w:hint="eastAsia" w:ascii="宋体" w:hAnsi="宋体" w:eastAsia="宋体" w:cs="宋体"/>
          <w:sz w:val="24"/>
          <w:szCs w:val="24"/>
          <w:highlight w:val="none"/>
          <w:lang w:val="en-US" w:eastAsia="zh-CN"/>
        </w:rPr>
        <w:t>+A4</w:t>
      </w:r>
      <w:r>
        <w:rPr>
          <w:rFonts w:hint="eastAsia" w:ascii="宋体" w:hAnsi="宋体" w:eastAsia="宋体" w:cs="宋体"/>
          <w:sz w:val="24"/>
          <w:szCs w:val="24"/>
          <w:highlight w:val="none"/>
        </w:rPr>
        <w:t>=1、F1×A1＋F2×A2＋F3×A3＋F</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×A</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00</w:t>
      </w:r>
      <w:r>
        <w:rPr>
          <w:rFonts w:hint="eastAsia" w:ascii="宋体" w:hAnsi="宋体" w:eastAsia="宋体" w:cs="宋体"/>
          <w:sz w:val="24"/>
          <w:szCs w:val="24"/>
          <w:highlight w:val="none"/>
        </w:rPr>
        <w:t>分（满分时）。</w:t>
      </w:r>
    </w:p>
    <w:p w14:paraId="2E6CC8E2">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（3）各项评审因素的设置如下：</w:t>
      </w:r>
    </w:p>
    <w:p w14:paraId="33329B1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采购包1：综合评分法</w:t>
      </w:r>
    </w:p>
    <w:p w14:paraId="3B6B309E">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各项评审因素的设置如下：</w:t>
      </w:r>
    </w:p>
    <w:p w14:paraId="3C29711A">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报价部分评分PF 满分为</w:t>
      </w:r>
      <w:r>
        <w:rPr>
          <w:rFonts w:hint="eastAsia" w:ascii="宋体" w:hAnsi="宋体" w:eastAsia="宋体" w:cs="宋体"/>
          <w:b/>
          <w:bCs/>
          <w:sz w:val="24"/>
          <w:szCs w:val="24"/>
          <w:highlight w:val="none"/>
          <w:lang w:val="en-US" w:eastAsia="zh-CN"/>
        </w:rPr>
        <w:t>15.00</w:t>
      </w:r>
      <w:r>
        <w:rPr>
          <w:rFonts w:hint="eastAsia" w:ascii="宋体" w:hAnsi="宋体" w:eastAsia="宋体" w:cs="宋体"/>
          <w:b/>
          <w:bCs/>
          <w:sz w:val="24"/>
          <w:szCs w:val="24"/>
          <w:highlight w:val="none"/>
        </w:rPr>
        <w:t>分</w:t>
      </w:r>
    </w:p>
    <w:p w14:paraId="712C9A5D">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F1指价格项评审因素得分＝（最后报价下浮率/磋商基准价）×100×价格项评审因素所占的权重（注：满足</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文件要求且</w:t>
      </w:r>
      <w:r>
        <w:rPr>
          <w:rFonts w:hint="eastAsia" w:ascii="宋体" w:hAnsi="宋体" w:eastAsia="宋体" w:cs="宋体"/>
          <w:sz w:val="24"/>
          <w:szCs w:val="24"/>
          <w:highlight w:val="none"/>
          <w:lang w:val="en-US" w:eastAsia="zh-CN"/>
        </w:rPr>
        <w:t>报价下浮率最高的</w:t>
      </w:r>
      <w:r>
        <w:rPr>
          <w:rFonts w:hint="eastAsia" w:ascii="宋体" w:hAnsi="宋体" w:eastAsia="宋体" w:cs="宋体"/>
          <w:sz w:val="24"/>
          <w:szCs w:val="24"/>
          <w:highlight w:val="none"/>
        </w:rPr>
        <w:t>为评标基准价。）最低报价不是中标的唯一依据。因落实政府采购政策进行价格调整的，以调整后的价格计算评标基准价和投标报价。</w:t>
      </w:r>
    </w:p>
    <w:p w14:paraId="3C4D521A">
      <w:pPr>
        <w:pStyle w:val="2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w:t>
      </w:r>
      <w:r>
        <w:rPr>
          <w:rFonts w:hint="eastAsia" w:ascii="宋体" w:hAnsi="宋体" w:eastAsia="宋体" w:cs="宋体"/>
          <w:sz w:val="24"/>
          <w:szCs w:val="24"/>
          <w:highlight w:val="none"/>
          <w:lang w:val="en-US" w:eastAsia="zh-CN"/>
        </w:rPr>
        <w:t>以</w:t>
      </w:r>
      <w:r>
        <w:rPr>
          <w:rFonts w:hint="eastAsia" w:ascii="宋体" w:hAnsi="宋体" w:eastAsia="宋体" w:cs="宋体"/>
          <w:sz w:val="24"/>
          <w:szCs w:val="24"/>
          <w:highlight w:val="none"/>
        </w:rPr>
        <w:t>“下浮率”</w:t>
      </w:r>
      <w:r>
        <w:rPr>
          <w:rFonts w:hint="eastAsia" w:ascii="宋体" w:hAnsi="宋体" w:eastAsia="宋体" w:cs="宋体"/>
          <w:sz w:val="24"/>
          <w:szCs w:val="24"/>
          <w:highlight w:val="none"/>
          <w:lang w:val="en-US" w:eastAsia="zh-CN"/>
        </w:rPr>
        <w:t>方式</w:t>
      </w:r>
      <w:r>
        <w:rPr>
          <w:rFonts w:hint="eastAsia" w:ascii="宋体" w:hAnsi="宋体" w:eastAsia="宋体" w:cs="宋体"/>
          <w:sz w:val="24"/>
          <w:szCs w:val="24"/>
          <w:highlight w:val="none"/>
        </w:rPr>
        <w:t>进行报价。下浮率计算过程保留小数点后两位数</w:t>
      </w:r>
      <w:r>
        <w:rPr>
          <w:rFonts w:hint="eastAsia" w:ascii="宋体" w:hAnsi="宋体" w:eastAsia="宋体" w:cs="宋体"/>
          <w:sz w:val="24"/>
          <w:szCs w:val="24"/>
          <w:highlight w:val="none"/>
          <w:lang w:val="en-US" w:eastAsia="zh-CN"/>
        </w:rPr>
        <w:t>(如</w:t>
      </w:r>
      <w:r>
        <w:rPr>
          <w:rFonts w:hint="eastAsia" w:ascii="宋体" w:hAnsi="宋体" w:eastAsia="宋体" w:cs="宋体"/>
          <w:sz w:val="24"/>
          <w:szCs w:val="24"/>
          <w:highlight w:val="none"/>
        </w:rPr>
        <w:t>10.00%</w:t>
      </w:r>
      <w:r>
        <w:rPr>
          <w:rFonts w:hint="eastAsia" w:ascii="宋体" w:hAnsi="宋体" w:eastAsia="宋体" w:cs="宋体"/>
          <w:sz w:val="24"/>
          <w:szCs w:val="24"/>
          <w:highlight w:val="none"/>
          <w:lang w:val="en-US" w:eastAsia="zh-CN"/>
        </w:rPr>
        <w:t>)。结算计算公式</w:t>
      </w:r>
      <w:r>
        <w:rPr>
          <w:rFonts w:hint="eastAsia" w:ascii="宋体" w:hAnsi="宋体" w:eastAsia="宋体" w:cs="宋体"/>
          <w:sz w:val="24"/>
          <w:szCs w:val="24"/>
          <w:highlight w:val="none"/>
        </w:rPr>
        <w:t>：</w:t>
      </w:r>
      <w:r>
        <w:rPr>
          <w:rFonts w:hint="eastAsia" w:ascii="宋体" w:hAnsi="宋体" w:cs="宋体"/>
          <w:b w:val="0"/>
          <w:bCs w:val="0"/>
          <w:sz w:val="24"/>
          <w:szCs w:val="24"/>
          <w:highlight w:val="none"/>
          <w:lang w:val="en-US" w:eastAsia="zh-CN"/>
        </w:rPr>
        <w:t>最终结算金额</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经福建省发改委批复的概算金额</w:t>
      </w:r>
      <w:r>
        <w:rPr>
          <w:rFonts w:hint="eastAsia" w:ascii="宋体" w:hAnsi="宋体" w:eastAsia="宋体" w:cs="宋体"/>
          <w:sz w:val="24"/>
          <w:szCs w:val="24"/>
          <w:highlight w:val="none"/>
        </w:rPr>
        <w:t>×（1-报价下浮率）</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报价下浮率作为实际价格结算的依据，最终总的结算金额不超过预算金额</w:t>
      </w:r>
      <w:r>
        <w:rPr>
          <w:rFonts w:hint="eastAsia" w:ascii="宋体" w:hAnsi="宋体" w:eastAsia="宋体" w:cs="宋体"/>
          <w:sz w:val="24"/>
          <w:szCs w:val="24"/>
          <w:highlight w:val="none"/>
          <w:lang w:val="en-US" w:eastAsia="zh-CN"/>
        </w:rPr>
        <w:t>282900元</w:t>
      </w:r>
      <w:r>
        <w:rPr>
          <w:rFonts w:hint="eastAsia" w:ascii="宋体" w:hAnsi="宋体" w:eastAsia="宋体" w:cs="宋体"/>
          <w:sz w:val="24"/>
          <w:szCs w:val="24"/>
          <w:highlight w:val="none"/>
          <w:lang w:eastAsia="zh-CN"/>
        </w:rPr>
        <w:t>（</w:t>
      </w:r>
      <w:r>
        <w:rPr>
          <w:rFonts w:hint="eastAsia" w:ascii="宋体" w:hAnsi="宋体" w:eastAsia="宋体" w:cs="宋体"/>
          <w:b w:val="0"/>
          <w:bCs w:val="0"/>
          <w:sz w:val="24"/>
          <w:szCs w:val="24"/>
          <w:highlight w:val="none"/>
        </w:rPr>
        <w:t>合同履行中，采购人</w:t>
      </w:r>
      <w:r>
        <w:rPr>
          <w:rFonts w:hint="eastAsia" w:ascii="宋体" w:hAnsi="宋体" w:eastAsia="宋体" w:cs="宋体"/>
          <w:b w:val="0"/>
          <w:bCs w:val="0"/>
          <w:sz w:val="24"/>
          <w:szCs w:val="24"/>
          <w:highlight w:val="none"/>
          <w:lang w:val="en-US" w:eastAsia="zh-CN"/>
        </w:rPr>
        <w:t>若有</w:t>
      </w:r>
      <w:r>
        <w:rPr>
          <w:rFonts w:hint="eastAsia" w:ascii="宋体" w:hAnsi="宋体" w:eastAsia="宋体" w:cs="宋体"/>
          <w:b w:val="0"/>
          <w:bCs w:val="0"/>
          <w:sz w:val="24"/>
          <w:szCs w:val="24"/>
          <w:highlight w:val="none"/>
        </w:rPr>
        <w:t>追加</w:t>
      </w:r>
      <w:r>
        <w:rPr>
          <w:rFonts w:hint="eastAsia" w:ascii="宋体" w:hAnsi="宋体" w:eastAsia="宋体" w:cs="宋体"/>
          <w:b w:val="0"/>
          <w:bCs w:val="0"/>
          <w:sz w:val="24"/>
          <w:szCs w:val="24"/>
          <w:highlight w:val="none"/>
          <w:lang w:val="en-US" w:eastAsia="zh-CN"/>
        </w:rPr>
        <w:t>内容</w:t>
      </w:r>
      <w:r>
        <w:rPr>
          <w:rFonts w:hint="eastAsia" w:ascii="宋体" w:hAnsi="宋体" w:eastAsia="宋体" w:cs="宋体"/>
          <w:b w:val="0"/>
          <w:bCs w:val="0"/>
          <w:sz w:val="24"/>
          <w:szCs w:val="24"/>
          <w:highlight w:val="none"/>
        </w:rPr>
        <w:t>的，在不改变合同其他条款的前提下，与成交人协商签订补充合同</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补充合同</w:t>
      </w:r>
      <w:r>
        <w:rPr>
          <w:rFonts w:hint="eastAsia" w:ascii="宋体" w:hAnsi="宋体" w:eastAsia="宋体" w:cs="宋体"/>
          <w:b w:val="0"/>
          <w:bCs w:val="0"/>
          <w:sz w:val="24"/>
          <w:szCs w:val="24"/>
          <w:highlight w:val="none"/>
          <w:lang w:val="en-US" w:eastAsia="zh-CN"/>
        </w:rPr>
        <w:t>的</w:t>
      </w:r>
      <w:r>
        <w:rPr>
          <w:rFonts w:hint="eastAsia" w:ascii="宋体" w:hAnsi="宋体" w:eastAsia="宋体" w:cs="宋体"/>
          <w:b w:val="0"/>
          <w:bCs w:val="0"/>
          <w:sz w:val="24"/>
          <w:szCs w:val="24"/>
          <w:highlight w:val="none"/>
        </w:rPr>
        <w:t>金额不得超过</w:t>
      </w:r>
      <w:r>
        <w:rPr>
          <w:rFonts w:hint="eastAsia" w:ascii="宋体" w:hAnsi="宋体" w:eastAsia="宋体" w:cs="宋体"/>
          <w:b w:val="0"/>
          <w:bCs w:val="0"/>
          <w:sz w:val="24"/>
          <w:szCs w:val="24"/>
          <w:highlight w:val="none"/>
          <w:lang w:val="en-US" w:eastAsia="zh-CN"/>
        </w:rPr>
        <w:t>预算金额</w:t>
      </w:r>
      <w:r>
        <w:rPr>
          <w:rFonts w:hint="eastAsia" w:ascii="宋体" w:hAnsi="宋体" w:eastAsia="宋体" w:cs="宋体"/>
          <w:b w:val="0"/>
          <w:bCs w:val="0"/>
          <w:sz w:val="24"/>
          <w:szCs w:val="24"/>
          <w:highlight w:val="none"/>
        </w:rPr>
        <w:t>的百分之十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14:paraId="03197BE7">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价格扣除的规则如下：</w:t>
      </w:r>
      <w:r>
        <w:rPr>
          <w:rFonts w:hint="eastAsia" w:ascii="宋体" w:hAnsi="宋体" w:eastAsia="宋体" w:cs="宋体"/>
          <w:sz w:val="24"/>
          <w:szCs w:val="24"/>
          <w:highlight w:val="none"/>
          <w:lang w:val="en-US" w:eastAsia="zh-CN"/>
        </w:rPr>
        <w:t>无。</w:t>
      </w:r>
    </w:p>
    <w:p w14:paraId="47DD2BE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优先类节能产品、环境标志产品的价格扣除规则如下</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无。</w:t>
      </w:r>
    </w:p>
    <w:p w14:paraId="34A9CA1C">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其他：无</w:t>
      </w:r>
    </w:p>
    <w:p w14:paraId="56F0003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技术部分评分PT 满分为</w:t>
      </w:r>
      <w:r>
        <w:rPr>
          <w:rFonts w:hint="eastAsia" w:ascii="宋体" w:hAnsi="宋体" w:eastAsia="宋体" w:cs="宋体"/>
          <w:b/>
          <w:bCs/>
          <w:sz w:val="24"/>
          <w:szCs w:val="24"/>
          <w:highlight w:val="none"/>
          <w:lang w:val="en-US" w:eastAsia="zh-CN"/>
        </w:rPr>
        <w:t>50</w:t>
      </w:r>
      <w:r>
        <w:rPr>
          <w:rFonts w:hint="eastAsia" w:ascii="宋体" w:hAnsi="宋体" w:eastAsia="宋体" w:cs="宋体"/>
          <w:b/>
          <w:bCs/>
          <w:sz w:val="24"/>
          <w:szCs w:val="24"/>
          <w:highlight w:val="none"/>
        </w:rPr>
        <w:t>.00分</w:t>
      </w:r>
    </w:p>
    <w:p w14:paraId="117F747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一、基建提升专项</w:t>
      </w:r>
    </w:p>
    <w:tbl>
      <w:tblPr>
        <w:tblStyle w:val="18"/>
        <w:tblW w:w="8268"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2880"/>
        <w:gridCol w:w="1050"/>
        <w:gridCol w:w="790"/>
        <w:gridCol w:w="250"/>
        <w:gridCol w:w="1064"/>
        <w:gridCol w:w="231"/>
        <w:gridCol w:w="2003"/>
      </w:tblGrid>
      <w:tr w14:paraId="30DE376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cantSplit/>
          <w:trHeight w:val="605" w:hRule="atLeast"/>
          <w:jc w:val="center"/>
        </w:trPr>
        <w:tc>
          <w:tcPr>
            <w:tcW w:w="2880"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395D2CFD">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档次</w:t>
            </w:r>
          </w:p>
          <w:p w14:paraId="778FB237">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评分内容</w:t>
            </w:r>
          </w:p>
        </w:tc>
        <w:tc>
          <w:tcPr>
            <w:tcW w:w="1050" w:type="dxa"/>
            <w:tcBorders>
              <w:top w:val="single" w:color="auto" w:sz="8" w:space="0"/>
              <w:left w:val="nil"/>
              <w:bottom w:val="single" w:color="auto" w:sz="8" w:space="0"/>
              <w:right w:val="single" w:color="auto" w:sz="8" w:space="0"/>
            </w:tcBorders>
            <w:noWrap w:val="0"/>
            <w:tcMar>
              <w:left w:w="108" w:type="dxa"/>
              <w:right w:w="108" w:type="dxa"/>
            </w:tcMar>
            <w:vAlign w:val="center"/>
          </w:tcPr>
          <w:p w14:paraId="5500FD3A">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总分值</w:t>
            </w:r>
          </w:p>
        </w:tc>
        <w:tc>
          <w:tcPr>
            <w:tcW w:w="1040" w:type="dxa"/>
            <w:gridSpan w:val="2"/>
            <w:tcBorders>
              <w:top w:val="single" w:color="auto" w:sz="8" w:space="0"/>
              <w:left w:val="nil"/>
              <w:bottom w:val="single" w:color="auto" w:sz="8" w:space="0"/>
              <w:right w:val="single" w:color="auto" w:sz="8" w:space="0"/>
            </w:tcBorders>
            <w:noWrap w:val="0"/>
            <w:tcMar>
              <w:left w:w="108" w:type="dxa"/>
              <w:right w:w="108" w:type="dxa"/>
            </w:tcMar>
            <w:vAlign w:val="center"/>
          </w:tcPr>
          <w:p w14:paraId="59214853">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b/>
                <w:color w:val="auto"/>
                <w:kern w:val="2"/>
                <w:sz w:val="24"/>
                <w:szCs w:val="24"/>
                <w:highlight w:val="none"/>
              </w:rPr>
              <w:t>优秀</w:t>
            </w:r>
          </w:p>
        </w:tc>
        <w:tc>
          <w:tcPr>
            <w:tcW w:w="1295" w:type="dxa"/>
            <w:gridSpan w:val="2"/>
            <w:tcBorders>
              <w:top w:val="single" w:color="auto" w:sz="8" w:space="0"/>
              <w:left w:val="nil"/>
              <w:bottom w:val="single" w:color="auto" w:sz="8" w:space="0"/>
              <w:right w:val="single" w:color="auto" w:sz="8" w:space="0"/>
            </w:tcBorders>
            <w:noWrap w:val="0"/>
            <w:tcMar>
              <w:left w:w="108" w:type="dxa"/>
              <w:right w:w="108" w:type="dxa"/>
            </w:tcMar>
            <w:vAlign w:val="center"/>
          </w:tcPr>
          <w:p w14:paraId="13D413DF">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b/>
                <w:color w:val="auto"/>
                <w:kern w:val="2"/>
                <w:sz w:val="24"/>
                <w:szCs w:val="24"/>
                <w:highlight w:val="none"/>
              </w:rPr>
              <w:t>良好</w:t>
            </w:r>
          </w:p>
        </w:tc>
        <w:tc>
          <w:tcPr>
            <w:tcW w:w="2003" w:type="dxa"/>
            <w:tcBorders>
              <w:top w:val="single" w:color="auto" w:sz="8" w:space="0"/>
              <w:left w:val="nil"/>
              <w:bottom w:val="single" w:color="auto" w:sz="8" w:space="0"/>
              <w:right w:val="single" w:color="auto" w:sz="8" w:space="0"/>
            </w:tcBorders>
            <w:noWrap w:val="0"/>
            <w:tcMar>
              <w:left w:w="108" w:type="dxa"/>
              <w:right w:w="108" w:type="dxa"/>
            </w:tcMar>
            <w:vAlign w:val="center"/>
          </w:tcPr>
          <w:p w14:paraId="0795B7C6">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b/>
                <w:color w:val="auto"/>
                <w:kern w:val="2"/>
                <w:sz w:val="24"/>
                <w:szCs w:val="24"/>
                <w:highlight w:val="none"/>
              </w:rPr>
              <w:t>合格</w:t>
            </w:r>
          </w:p>
        </w:tc>
      </w:tr>
      <w:tr w14:paraId="5347B05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90" w:hRule="atLeast"/>
          <w:jc w:val="center"/>
        </w:trPr>
        <w:tc>
          <w:tcPr>
            <w:tcW w:w="288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46CC731">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rPr>
            </w:pPr>
            <w:r>
              <w:rPr>
                <w:rFonts w:hint="eastAsia" w:ascii="宋体" w:hAnsi="宋体" w:eastAsia="宋体" w:cs="宋体"/>
                <w:b w:val="0"/>
                <w:bCs w:val="0"/>
                <w:color w:val="auto"/>
                <w:kern w:val="2"/>
                <w:sz w:val="24"/>
                <w:szCs w:val="24"/>
                <w:highlight w:val="none"/>
              </w:rPr>
              <w:t>一、平面规划</w:t>
            </w:r>
          </w:p>
        </w:tc>
        <w:tc>
          <w:tcPr>
            <w:tcW w:w="1050" w:type="dxa"/>
            <w:tcBorders>
              <w:top w:val="nil"/>
              <w:left w:val="nil"/>
              <w:bottom w:val="single" w:color="auto" w:sz="8" w:space="0"/>
              <w:right w:val="single" w:color="auto" w:sz="8" w:space="0"/>
            </w:tcBorders>
            <w:noWrap w:val="0"/>
            <w:tcMar>
              <w:left w:w="108" w:type="dxa"/>
              <w:right w:w="108" w:type="dxa"/>
            </w:tcMar>
            <w:vAlign w:val="center"/>
          </w:tcPr>
          <w:p w14:paraId="4D735240">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rPr>
            </w:pPr>
            <w:r>
              <w:rPr>
                <w:rFonts w:hint="eastAsia" w:ascii="宋体" w:hAnsi="宋体" w:eastAsia="宋体" w:cs="宋体"/>
                <w:b w:val="0"/>
                <w:bCs w:val="0"/>
                <w:color w:val="auto"/>
                <w:kern w:val="2"/>
                <w:sz w:val="24"/>
                <w:szCs w:val="24"/>
                <w:highlight w:val="none"/>
              </w:rPr>
              <w:t>1</w:t>
            </w:r>
            <w:r>
              <w:rPr>
                <w:rFonts w:hint="eastAsia" w:ascii="宋体" w:hAnsi="宋体" w:eastAsia="宋体" w:cs="宋体"/>
                <w:b w:val="0"/>
                <w:bCs w:val="0"/>
                <w:color w:val="auto"/>
                <w:kern w:val="2"/>
                <w:sz w:val="24"/>
                <w:szCs w:val="24"/>
                <w:highlight w:val="none"/>
                <w:lang w:val="en-US" w:eastAsia="zh-CN"/>
              </w:rPr>
              <w:t>0</w:t>
            </w:r>
            <w:r>
              <w:rPr>
                <w:rFonts w:hint="eastAsia" w:ascii="宋体" w:hAnsi="宋体" w:eastAsia="宋体" w:cs="宋体"/>
                <w:b w:val="0"/>
                <w:bCs w:val="0"/>
                <w:color w:val="auto"/>
                <w:kern w:val="2"/>
                <w:sz w:val="24"/>
                <w:szCs w:val="24"/>
                <w:highlight w:val="none"/>
              </w:rPr>
              <w:t>分</w:t>
            </w:r>
          </w:p>
        </w:tc>
        <w:tc>
          <w:tcPr>
            <w:tcW w:w="1040" w:type="dxa"/>
            <w:gridSpan w:val="2"/>
            <w:tcBorders>
              <w:top w:val="nil"/>
              <w:left w:val="nil"/>
              <w:bottom w:val="single" w:color="auto" w:sz="8" w:space="0"/>
              <w:right w:val="single" w:color="auto" w:sz="8" w:space="0"/>
            </w:tcBorders>
            <w:noWrap w:val="0"/>
            <w:tcMar>
              <w:left w:w="108" w:type="dxa"/>
              <w:right w:w="108" w:type="dxa"/>
            </w:tcMar>
            <w:vAlign w:val="center"/>
          </w:tcPr>
          <w:p w14:paraId="7EC2061A">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rPr>
              <w:t>1</w:t>
            </w:r>
            <w:r>
              <w:rPr>
                <w:rFonts w:hint="eastAsia" w:ascii="宋体" w:hAnsi="宋体" w:eastAsia="宋体" w:cs="宋体"/>
                <w:b w:val="0"/>
                <w:bCs w:val="0"/>
                <w:color w:val="auto"/>
                <w:kern w:val="2"/>
                <w:sz w:val="24"/>
                <w:szCs w:val="24"/>
                <w:highlight w:val="none"/>
                <w:lang w:val="en-US" w:eastAsia="zh-CN"/>
              </w:rPr>
              <w:t>0</w:t>
            </w:r>
          </w:p>
        </w:tc>
        <w:tc>
          <w:tcPr>
            <w:tcW w:w="1064" w:type="dxa"/>
            <w:tcBorders>
              <w:top w:val="nil"/>
              <w:left w:val="nil"/>
              <w:bottom w:val="single" w:color="auto" w:sz="8" w:space="0"/>
              <w:right w:val="single" w:color="auto" w:sz="8" w:space="0"/>
            </w:tcBorders>
            <w:noWrap w:val="0"/>
            <w:tcMar>
              <w:left w:w="108" w:type="dxa"/>
              <w:right w:w="108" w:type="dxa"/>
            </w:tcMar>
            <w:vAlign w:val="center"/>
          </w:tcPr>
          <w:p w14:paraId="65BF8919">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lang w:val="en-US" w:eastAsia="zh-CN"/>
              </w:rPr>
              <w:t>9</w:t>
            </w:r>
          </w:p>
        </w:tc>
        <w:tc>
          <w:tcPr>
            <w:tcW w:w="2234" w:type="dxa"/>
            <w:gridSpan w:val="2"/>
            <w:tcBorders>
              <w:top w:val="nil"/>
              <w:left w:val="nil"/>
              <w:bottom w:val="single" w:color="auto" w:sz="8" w:space="0"/>
              <w:right w:val="single" w:color="auto" w:sz="8" w:space="0"/>
            </w:tcBorders>
            <w:noWrap w:val="0"/>
            <w:tcMar>
              <w:left w:w="108" w:type="dxa"/>
              <w:right w:w="108" w:type="dxa"/>
            </w:tcMar>
            <w:vAlign w:val="center"/>
          </w:tcPr>
          <w:p w14:paraId="0E8D796B">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lang w:val="en-US" w:eastAsia="zh-CN"/>
              </w:rPr>
              <w:t>8</w:t>
            </w:r>
          </w:p>
        </w:tc>
      </w:tr>
      <w:tr w14:paraId="47ADB73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700" w:hRule="atLeast"/>
          <w:jc w:val="center"/>
        </w:trPr>
        <w:tc>
          <w:tcPr>
            <w:tcW w:w="8268" w:type="dxa"/>
            <w:gridSpan w:val="7"/>
            <w:tcBorders>
              <w:top w:val="nil"/>
              <w:left w:val="single" w:color="auto" w:sz="8" w:space="0"/>
              <w:bottom w:val="single" w:color="auto" w:sz="8" w:space="0"/>
              <w:right w:val="single" w:color="auto" w:sz="8" w:space="0"/>
            </w:tcBorders>
            <w:noWrap w:val="0"/>
            <w:tcMar>
              <w:left w:w="108" w:type="dxa"/>
              <w:right w:w="108" w:type="dxa"/>
            </w:tcMar>
            <w:vAlign w:val="center"/>
          </w:tcPr>
          <w:p w14:paraId="57485A58">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firstLine="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1、设计指导思想、设计概念、设计策略等合理性与前瞻性，全面性：</w:t>
            </w:r>
            <w:r>
              <w:rPr>
                <w:rFonts w:hint="eastAsia" w:ascii="宋体" w:hAnsi="宋体" w:eastAsia="宋体" w:cs="宋体"/>
                <w:color w:val="auto"/>
                <w:kern w:val="2"/>
                <w:sz w:val="24"/>
                <w:szCs w:val="24"/>
                <w:highlight w:val="none"/>
                <w:lang w:val="en-US" w:eastAsia="zh-CN"/>
              </w:rPr>
              <w:t>2</w:t>
            </w:r>
            <w:r>
              <w:rPr>
                <w:rFonts w:hint="default" w:ascii="宋体" w:hAnsi="宋体" w:eastAsia="宋体" w:cs="宋体"/>
                <w:color w:val="auto"/>
                <w:kern w:val="2"/>
                <w:sz w:val="24"/>
                <w:szCs w:val="24"/>
                <w:highlight w:val="none"/>
                <w:lang w:val="en-US"/>
              </w:rPr>
              <w:t>.5-</w:t>
            </w:r>
            <w:r>
              <w:rPr>
                <w:rFonts w:hint="eastAsia" w:ascii="宋体" w:hAnsi="宋体" w:eastAsia="宋体" w:cs="宋体"/>
                <w:color w:val="auto"/>
                <w:kern w:val="2"/>
                <w:sz w:val="24"/>
                <w:szCs w:val="24"/>
                <w:highlight w:val="none"/>
                <w:u w:val="none"/>
                <w:lang w:val="en-US" w:eastAsia="zh-CN"/>
              </w:rPr>
              <w:t>3</w:t>
            </w:r>
            <w:r>
              <w:rPr>
                <w:rFonts w:hint="eastAsia" w:ascii="宋体" w:hAnsi="宋体" w:eastAsia="宋体" w:cs="宋体"/>
                <w:color w:val="auto"/>
                <w:kern w:val="2"/>
                <w:sz w:val="24"/>
                <w:szCs w:val="24"/>
                <w:highlight w:val="none"/>
                <w:u w:val="none"/>
              </w:rPr>
              <w:t>分</w:t>
            </w:r>
          </w:p>
          <w:p w14:paraId="4DD3503C">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2、功能分区及平面布局的合理性与细致性：</w:t>
            </w:r>
            <w:r>
              <w:rPr>
                <w:rFonts w:hint="eastAsia" w:ascii="宋体" w:hAnsi="宋体" w:eastAsia="宋体" w:cs="宋体"/>
                <w:color w:val="auto"/>
                <w:kern w:val="2"/>
                <w:sz w:val="24"/>
                <w:szCs w:val="24"/>
                <w:highlight w:val="none"/>
                <w:lang w:val="en-US" w:eastAsia="zh-CN"/>
              </w:rPr>
              <w:t>2</w:t>
            </w:r>
            <w:r>
              <w:rPr>
                <w:rFonts w:hint="default" w:ascii="宋体" w:hAnsi="宋体" w:eastAsia="宋体" w:cs="宋体"/>
                <w:color w:val="auto"/>
                <w:kern w:val="2"/>
                <w:sz w:val="24"/>
                <w:szCs w:val="24"/>
                <w:highlight w:val="none"/>
                <w:lang w:val="en-US"/>
              </w:rPr>
              <w:t>.5-</w:t>
            </w:r>
            <w:r>
              <w:rPr>
                <w:rFonts w:hint="eastAsia" w:ascii="宋体" w:hAnsi="宋体" w:eastAsia="宋体" w:cs="宋体"/>
                <w:color w:val="auto"/>
                <w:kern w:val="2"/>
                <w:sz w:val="24"/>
                <w:szCs w:val="24"/>
                <w:highlight w:val="none"/>
                <w:u w:val="none"/>
                <w:lang w:val="en-US" w:eastAsia="zh-CN"/>
              </w:rPr>
              <w:t>3</w:t>
            </w:r>
            <w:r>
              <w:rPr>
                <w:rFonts w:hint="eastAsia" w:ascii="宋体" w:hAnsi="宋体" w:eastAsia="宋体" w:cs="宋体"/>
                <w:color w:val="auto"/>
                <w:kern w:val="2"/>
                <w:sz w:val="24"/>
                <w:szCs w:val="24"/>
                <w:highlight w:val="none"/>
                <w:u w:val="none"/>
              </w:rPr>
              <w:t>分</w:t>
            </w:r>
          </w:p>
          <w:p w14:paraId="2FABD206">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3、人流组织</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物流、洁污</w:t>
            </w:r>
            <w:r>
              <w:rPr>
                <w:rFonts w:hint="eastAsia" w:ascii="宋体" w:hAnsi="宋体" w:eastAsia="宋体" w:cs="宋体"/>
                <w:color w:val="auto"/>
                <w:kern w:val="2"/>
                <w:sz w:val="24"/>
                <w:szCs w:val="24"/>
                <w:highlight w:val="none"/>
              </w:rPr>
              <w:t>及交通流线合理性：</w:t>
            </w:r>
            <w:r>
              <w:rPr>
                <w:rFonts w:hint="default" w:ascii="宋体" w:hAnsi="宋体" w:eastAsia="宋体" w:cs="宋体"/>
                <w:color w:val="auto"/>
                <w:kern w:val="2"/>
                <w:sz w:val="24"/>
                <w:szCs w:val="24"/>
                <w:highlight w:val="none"/>
                <w:lang w:val="en-US"/>
              </w:rPr>
              <w:t>1.5-</w:t>
            </w:r>
            <w:r>
              <w:rPr>
                <w:rFonts w:hint="eastAsia" w:ascii="宋体" w:hAnsi="宋体" w:eastAsia="宋体" w:cs="宋体"/>
                <w:color w:val="auto"/>
                <w:kern w:val="2"/>
                <w:sz w:val="24"/>
                <w:szCs w:val="24"/>
                <w:highlight w:val="none"/>
                <w:u w:val="none"/>
              </w:rPr>
              <w:t>2分</w:t>
            </w:r>
          </w:p>
          <w:p w14:paraId="03FE7C0D">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4、满足消防规范要求的情况：</w:t>
            </w:r>
            <w:r>
              <w:rPr>
                <w:rFonts w:hint="default" w:ascii="宋体" w:hAnsi="宋体" w:eastAsia="宋体" w:cs="宋体"/>
                <w:color w:val="auto"/>
                <w:kern w:val="2"/>
                <w:sz w:val="24"/>
                <w:szCs w:val="24"/>
                <w:highlight w:val="none"/>
                <w:lang w:val="en-US"/>
              </w:rPr>
              <w:t>1.5-</w:t>
            </w:r>
            <w:r>
              <w:rPr>
                <w:rFonts w:hint="eastAsia" w:ascii="宋体" w:hAnsi="宋体" w:eastAsia="宋体" w:cs="宋体"/>
                <w:color w:val="auto"/>
                <w:kern w:val="2"/>
                <w:sz w:val="24"/>
                <w:szCs w:val="24"/>
                <w:highlight w:val="none"/>
                <w:u w:val="none"/>
              </w:rPr>
              <w:t>2分</w:t>
            </w:r>
          </w:p>
        </w:tc>
      </w:tr>
      <w:tr w14:paraId="7551C63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30" w:hRule="atLeast"/>
          <w:jc w:val="center"/>
        </w:trPr>
        <w:tc>
          <w:tcPr>
            <w:tcW w:w="2880"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8E181E2">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rPr>
            </w:pPr>
            <w:r>
              <w:rPr>
                <w:rFonts w:hint="eastAsia" w:ascii="宋体" w:hAnsi="宋体" w:eastAsia="宋体" w:cs="宋体"/>
                <w:b w:val="0"/>
                <w:bCs w:val="0"/>
                <w:color w:val="auto"/>
                <w:kern w:val="2"/>
                <w:sz w:val="24"/>
                <w:szCs w:val="24"/>
                <w:highlight w:val="none"/>
              </w:rPr>
              <w:t>二、室内设计</w:t>
            </w:r>
          </w:p>
        </w:tc>
        <w:tc>
          <w:tcPr>
            <w:tcW w:w="1050" w:type="dxa"/>
            <w:tcBorders>
              <w:top w:val="nil"/>
              <w:left w:val="nil"/>
              <w:bottom w:val="single" w:color="auto" w:sz="8" w:space="0"/>
              <w:right w:val="single" w:color="auto" w:sz="8" w:space="0"/>
            </w:tcBorders>
            <w:noWrap w:val="0"/>
            <w:tcMar>
              <w:left w:w="108" w:type="dxa"/>
              <w:right w:w="108" w:type="dxa"/>
            </w:tcMar>
            <w:vAlign w:val="center"/>
          </w:tcPr>
          <w:p w14:paraId="756F0DE8">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rPr>
            </w:pPr>
            <w:r>
              <w:rPr>
                <w:rFonts w:hint="eastAsia" w:ascii="宋体" w:hAnsi="宋体" w:eastAsia="宋体" w:cs="宋体"/>
                <w:b w:val="0"/>
                <w:bCs w:val="0"/>
                <w:color w:val="auto"/>
                <w:kern w:val="2"/>
                <w:sz w:val="24"/>
                <w:szCs w:val="24"/>
                <w:highlight w:val="none"/>
              </w:rPr>
              <w:t>1</w:t>
            </w:r>
            <w:r>
              <w:rPr>
                <w:rFonts w:hint="eastAsia" w:ascii="宋体" w:hAnsi="宋体" w:eastAsia="宋体" w:cs="宋体"/>
                <w:b w:val="0"/>
                <w:bCs w:val="0"/>
                <w:color w:val="auto"/>
                <w:kern w:val="2"/>
                <w:sz w:val="24"/>
                <w:szCs w:val="24"/>
                <w:highlight w:val="none"/>
                <w:lang w:val="en-US" w:eastAsia="zh-CN"/>
              </w:rPr>
              <w:t>0</w:t>
            </w:r>
            <w:r>
              <w:rPr>
                <w:rFonts w:hint="eastAsia" w:ascii="宋体" w:hAnsi="宋体" w:eastAsia="宋体" w:cs="宋体"/>
                <w:b w:val="0"/>
                <w:bCs w:val="0"/>
                <w:color w:val="auto"/>
                <w:kern w:val="2"/>
                <w:sz w:val="24"/>
                <w:szCs w:val="24"/>
                <w:highlight w:val="none"/>
              </w:rPr>
              <w:t>分</w:t>
            </w:r>
          </w:p>
        </w:tc>
        <w:tc>
          <w:tcPr>
            <w:tcW w:w="1040" w:type="dxa"/>
            <w:gridSpan w:val="2"/>
            <w:tcBorders>
              <w:top w:val="nil"/>
              <w:left w:val="nil"/>
              <w:bottom w:val="single" w:color="auto" w:sz="8" w:space="0"/>
              <w:right w:val="single" w:color="auto" w:sz="8" w:space="0"/>
            </w:tcBorders>
            <w:noWrap w:val="0"/>
            <w:tcMar>
              <w:left w:w="108" w:type="dxa"/>
              <w:right w:w="108" w:type="dxa"/>
            </w:tcMar>
            <w:vAlign w:val="center"/>
          </w:tcPr>
          <w:p w14:paraId="538C822F">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rPr>
              <w:t>1</w:t>
            </w:r>
            <w:r>
              <w:rPr>
                <w:rFonts w:hint="eastAsia" w:ascii="宋体" w:hAnsi="宋体" w:eastAsia="宋体" w:cs="宋体"/>
                <w:b w:val="0"/>
                <w:bCs w:val="0"/>
                <w:color w:val="auto"/>
                <w:kern w:val="2"/>
                <w:sz w:val="24"/>
                <w:szCs w:val="24"/>
                <w:highlight w:val="none"/>
                <w:lang w:val="en-US" w:eastAsia="zh-CN"/>
              </w:rPr>
              <w:t>0</w:t>
            </w:r>
          </w:p>
        </w:tc>
        <w:tc>
          <w:tcPr>
            <w:tcW w:w="1064" w:type="dxa"/>
            <w:tcBorders>
              <w:top w:val="nil"/>
              <w:left w:val="nil"/>
              <w:bottom w:val="single" w:color="auto" w:sz="8" w:space="0"/>
              <w:right w:val="single" w:color="auto" w:sz="8" w:space="0"/>
            </w:tcBorders>
            <w:noWrap w:val="0"/>
            <w:tcMar>
              <w:left w:w="108" w:type="dxa"/>
              <w:right w:w="108" w:type="dxa"/>
            </w:tcMar>
            <w:vAlign w:val="center"/>
          </w:tcPr>
          <w:p w14:paraId="257541CD">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lang w:val="en-US" w:eastAsia="zh-CN"/>
              </w:rPr>
              <w:t>9</w:t>
            </w:r>
          </w:p>
        </w:tc>
        <w:tc>
          <w:tcPr>
            <w:tcW w:w="2234" w:type="dxa"/>
            <w:gridSpan w:val="2"/>
            <w:tcBorders>
              <w:top w:val="nil"/>
              <w:left w:val="nil"/>
              <w:bottom w:val="single" w:color="auto" w:sz="8" w:space="0"/>
              <w:right w:val="single" w:color="auto" w:sz="8" w:space="0"/>
            </w:tcBorders>
            <w:noWrap w:val="0"/>
            <w:tcMar>
              <w:left w:w="108" w:type="dxa"/>
              <w:right w:w="108" w:type="dxa"/>
            </w:tcMar>
            <w:vAlign w:val="center"/>
          </w:tcPr>
          <w:p w14:paraId="0FAA45D9">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lang w:val="en-US" w:eastAsia="zh-CN"/>
              </w:rPr>
              <w:t>8</w:t>
            </w:r>
          </w:p>
        </w:tc>
      </w:tr>
      <w:tr w14:paraId="3D0A7D9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35" w:hRule="atLeast"/>
          <w:jc w:val="center"/>
        </w:trPr>
        <w:tc>
          <w:tcPr>
            <w:tcW w:w="8268" w:type="dxa"/>
            <w:gridSpan w:val="7"/>
            <w:tcBorders>
              <w:top w:val="nil"/>
              <w:left w:val="single" w:color="auto" w:sz="8" w:space="0"/>
              <w:bottom w:val="single" w:color="auto" w:sz="4" w:space="0"/>
              <w:right w:val="single" w:color="auto" w:sz="8" w:space="0"/>
            </w:tcBorders>
            <w:noWrap w:val="0"/>
            <w:tcMar>
              <w:left w:w="108" w:type="dxa"/>
              <w:right w:w="108" w:type="dxa"/>
            </w:tcMar>
            <w:vAlign w:val="center"/>
          </w:tcPr>
          <w:p w14:paraId="391703AE">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1、整体空间的主要风格意向（尺度，形态，光线，颜色，材料以及人在空间里的活动）：</w:t>
            </w:r>
            <w:r>
              <w:rPr>
                <w:rFonts w:hint="eastAsia" w:ascii="宋体" w:hAnsi="宋体" w:eastAsia="宋体" w:cs="宋体"/>
                <w:color w:val="auto"/>
                <w:kern w:val="2"/>
                <w:sz w:val="24"/>
                <w:szCs w:val="24"/>
                <w:highlight w:val="none"/>
                <w:lang w:val="en-US" w:eastAsia="zh-CN"/>
              </w:rPr>
              <w:t>2</w:t>
            </w:r>
            <w:r>
              <w:rPr>
                <w:rFonts w:hint="default" w:ascii="宋体" w:hAnsi="宋体" w:eastAsia="宋体" w:cs="宋体"/>
                <w:color w:val="auto"/>
                <w:kern w:val="2"/>
                <w:sz w:val="24"/>
                <w:szCs w:val="24"/>
                <w:highlight w:val="none"/>
                <w:lang w:val="en-US"/>
              </w:rPr>
              <w:t>-</w:t>
            </w:r>
            <w:r>
              <w:rPr>
                <w:rFonts w:hint="eastAsia" w:ascii="宋体" w:hAnsi="宋体" w:eastAsia="宋体" w:cs="宋体"/>
                <w:color w:val="auto"/>
                <w:kern w:val="2"/>
                <w:sz w:val="24"/>
                <w:szCs w:val="24"/>
                <w:highlight w:val="none"/>
                <w:u w:val="none"/>
                <w:lang w:val="en-US" w:eastAsia="zh-CN"/>
              </w:rPr>
              <w:t>3</w:t>
            </w:r>
            <w:r>
              <w:rPr>
                <w:rFonts w:hint="eastAsia" w:ascii="宋体" w:hAnsi="宋体" w:eastAsia="宋体" w:cs="宋体"/>
                <w:color w:val="auto"/>
                <w:kern w:val="2"/>
                <w:sz w:val="24"/>
                <w:szCs w:val="24"/>
                <w:highlight w:val="none"/>
                <w:u w:val="none"/>
              </w:rPr>
              <w:t>分</w:t>
            </w:r>
          </w:p>
          <w:p w14:paraId="749D5148">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2、材料选择的合理性及科学性：</w:t>
            </w:r>
            <w:r>
              <w:rPr>
                <w:rFonts w:hint="eastAsia" w:ascii="宋体" w:hAnsi="宋体" w:eastAsia="宋体" w:cs="宋体"/>
                <w:color w:val="auto"/>
                <w:kern w:val="2"/>
                <w:sz w:val="24"/>
                <w:szCs w:val="24"/>
                <w:highlight w:val="none"/>
                <w:lang w:val="en-US" w:eastAsia="zh-CN"/>
              </w:rPr>
              <w:t>3</w:t>
            </w:r>
            <w:r>
              <w:rPr>
                <w:rFonts w:hint="default" w:ascii="宋体" w:hAnsi="宋体" w:eastAsia="宋体" w:cs="宋体"/>
                <w:color w:val="auto"/>
                <w:kern w:val="2"/>
                <w:sz w:val="24"/>
                <w:szCs w:val="24"/>
                <w:highlight w:val="none"/>
                <w:lang w:val="en-US"/>
              </w:rPr>
              <w:t>-</w:t>
            </w: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u w:val="none"/>
              </w:rPr>
              <w:t>分</w:t>
            </w:r>
          </w:p>
          <w:p w14:paraId="16DAEA91">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3、绿色节能措施的合理性及科学性：</w:t>
            </w:r>
            <w:r>
              <w:rPr>
                <w:rFonts w:hint="eastAsia" w:ascii="宋体" w:hAnsi="宋体" w:eastAsia="宋体" w:cs="宋体"/>
                <w:color w:val="auto"/>
                <w:kern w:val="2"/>
                <w:sz w:val="24"/>
                <w:szCs w:val="24"/>
                <w:highlight w:val="none"/>
                <w:lang w:val="en-US" w:eastAsia="zh-CN"/>
              </w:rPr>
              <w:t>2</w:t>
            </w:r>
            <w:r>
              <w:rPr>
                <w:rFonts w:hint="default" w:ascii="宋体" w:hAnsi="宋体" w:eastAsia="宋体" w:cs="宋体"/>
                <w:color w:val="auto"/>
                <w:kern w:val="2"/>
                <w:sz w:val="24"/>
                <w:szCs w:val="24"/>
                <w:highlight w:val="none"/>
                <w:lang w:val="en-US"/>
              </w:rPr>
              <w:t>.5-</w:t>
            </w:r>
            <w:r>
              <w:rPr>
                <w:rFonts w:hint="eastAsia" w:ascii="宋体" w:hAnsi="宋体" w:eastAsia="宋体" w:cs="宋体"/>
                <w:color w:val="auto"/>
                <w:kern w:val="2"/>
                <w:sz w:val="24"/>
                <w:szCs w:val="24"/>
                <w:highlight w:val="none"/>
                <w:u w:val="none"/>
                <w:lang w:val="en-US" w:eastAsia="zh-CN"/>
              </w:rPr>
              <w:t>3</w:t>
            </w:r>
            <w:r>
              <w:rPr>
                <w:rFonts w:hint="eastAsia" w:ascii="宋体" w:hAnsi="宋体" w:eastAsia="宋体" w:cs="宋体"/>
                <w:color w:val="auto"/>
                <w:kern w:val="2"/>
                <w:sz w:val="24"/>
                <w:szCs w:val="24"/>
                <w:highlight w:val="none"/>
                <w:u w:val="none"/>
              </w:rPr>
              <w:t>分</w:t>
            </w:r>
          </w:p>
        </w:tc>
      </w:tr>
      <w:tr w14:paraId="29DE9A0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620" w:hRule="atLeast"/>
          <w:jc w:val="center"/>
        </w:trPr>
        <w:tc>
          <w:tcPr>
            <w:tcW w:w="288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476FD7A">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rPr>
            </w:pPr>
            <w:r>
              <w:rPr>
                <w:rFonts w:hint="eastAsia" w:ascii="宋体" w:hAnsi="宋体" w:eastAsia="宋体" w:cs="宋体"/>
                <w:b w:val="0"/>
                <w:bCs w:val="0"/>
                <w:color w:val="auto"/>
                <w:kern w:val="2"/>
                <w:sz w:val="24"/>
                <w:szCs w:val="24"/>
                <w:highlight w:val="none"/>
              </w:rPr>
              <w:t>三、机电安装及结构设计</w:t>
            </w:r>
          </w:p>
        </w:tc>
        <w:tc>
          <w:tcPr>
            <w:tcW w:w="105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8275A60">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rPr>
            </w:pPr>
            <w:r>
              <w:rPr>
                <w:rFonts w:hint="eastAsia" w:ascii="宋体" w:hAnsi="宋体" w:eastAsia="宋体" w:cs="宋体"/>
                <w:b w:val="0"/>
                <w:bCs w:val="0"/>
                <w:color w:val="auto"/>
                <w:kern w:val="2"/>
                <w:sz w:val="24"/>
                <w:szCs w:val="24"/>
                <w:highlight w:val="none"/>
                <w:lang w:val="en-US" w:eastAsia="zh-CN"/>
              </w:rPr>
              <w:t>5</w:t>
            </w:r>
            <w:r>
              <w:rPr>
                <w:rFonts w:hint="eastAsia" w:ascii="宋体" w:hAnsi="宋体" w:eastAsia="宋体" w:cs="宋体"/>
                <w:b w:val="0"/>
                <w:bCs w:val="0"/>
                <w:color w:val="auto"/>
                <w:kern w:val="2"/>
                <w:sz w:val="24"/>
                <w:szCs w:val="24"/>
                <w:highlight w:val="none"/>
              </w:rPr>
              <w:t>分</w:t>
            </w:r>
          </w:p>
        </w:tc>
        <w:tc>
          <w:tcPr>
            <w:tcW w:w="790"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BD1BFD3">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lang w:val="en-US" w:eastAsia="zh-CN"/>
              </w:rPr>
              <w:t>5</w:t>
            </w:r>
          </w:p>
        </w:tc>
        <w:tc>
          <w:tcPr>
            <w:tcW w:w="1545" w:type="dxa"/>
            <w:gridSpan w:val="3"/>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4C67FDC">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lang w:val="en-US" w:eastAsia="zh-CN"/>
              </w:rPr>
              <w:t>4</w:t>
            </w:r>
          </w:p>
        </w:tc>
        <w:tc>
          <w:tcPr>
            <w:tcW w:w="2003"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52ADCFDF">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val="0"/>
                <w:bCs w:val="0"/>
                <w:color w:val="auto"/>
                <w:kern w:val="2"/>
                <w:sz w:val="24"/>
                <w:szCs w:val="24"/>
                <w:highlight w:val="none"/>
                <w:lang w:eastAsia="zh-CN"/>
              </w:rPr>
            </w:pPr>
            <w:r>
              <w:rPr>
                <w:rFonts w:hint="eastAsia" w:ascii="宋体" w:hAnsi="宋体" w:eastAsia="宋体" w:cs="宋体"/>
                <w:b w:val="0"/>
                <w:bCs w:val="0"/>
                <w:color w:val="auto"/>
                <w:kern w:val="2"/>
                <w:sz w:val="24"/>
                <w:szCs w:val="24"/>
                <w:highlight w:val="none"/>
                <w:lang w:val="en-US" w:eastAsia="zh-CN"/>
              </w:rPr>
              <w:t>3</w:t>
            </w:r>
          </w:p>
        </w:tc>
      </w:tr>
      <w:tr w14:paraId="420062C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1187" w:hRule="atLeast"/>
          <w:jc w:val="center"/>
        </w:trPr>
        <w:tc>
          <w:tcPr>
            <w:tcW w:w="8268" w:type="dxa"/>
            <w:gridSpan w:val="7"/>
            <w:tcBorders>
              <w:top w:val="single" w:color="auto" w:sz="4" w:space="0"/>
              <w:left w:val="single" w:color="auto" w:sz="8" w:space="0"/>
              <w:bottom w:val="single" w:color="auto" w:sz="8" w:space="0"/>
              <w:right w:val="single" w:color="auto" w:sz="8" w:space="0"/>
            </w:tcBorders>
            <w:noWrap w:val="0"/>
            <w:tcMar>
              <w:left w:w="108" w:type="dxa"/>
              <w:right w:w="108" w:type="dxa"/>
            </w:tcMar>
            <w:vAlign w:val="center"/>
          </w:tcPr>
          <w:p w14:paraId="71A376DE">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1、结构设计的先进性及经济合理性：</w:t>
            </w:r>
            <w:r>
              <w:rPr>
                <w:rFonts w:hint="default" w:ascii="宋体" w:hAnsi="宋体" w:eastAsia="宋体" w:cs="宋体"/>
                <w:color w:val="auto"/>
                <w:kern w:val="2"/>
                <w:sz w:val="24"/>
                <w:szCs w:val="24"/>
                <w:highlight w:val="none"/>
                <w:lang w:val="en-US"/>
              </w:rPr>
              <w:t>1.5-</w:t>
            </w:r>
            <w:r>
              <w:rPr>
                <w:rFonts w:hint="eastAsia" w:ascii="宋体" w:hAnsi="宋体" w:eastAsia="宋体" w:cs="宋体"/>
                <w:color w:val="auto"/>
                <w:kern w:val="2"/>
                <w:sz w:val="24"/>
                <w:szCs w:val="24"/>
                <w:highlight w:val="none"/>
                <w:u w:val="none"/>
              </w:rPr>
              <w:t>2分</w:t>
            </w:r>
          </w:p>
          <w:p w14:paraId="275585FD">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2、工程投资估算技术经济指标的合理性：</w:t>
            </w:r>
            <w:r>
              <w:rPr>
                <w:rFonts w:hint="default" w:ascii="宋体" w:hAnsi="宋体" w:eastAsia="宋体" w:cs="宋体"/>
                <w:color w:val="auto"/>
                <w:kern w:val="2"/>
                <w:sz w:val="24"/>
                <w:szCs w:val="24"/>
                <w:highlight w:val="none"/>
                <w:lang w:val="en-US"/>
              </w:rPr>
              <w:t>0.5-</w:t>
            </w:r>
            <w:r>
              <w:rPr>
                <w:rFonts w:hint="eastAsia" w:ascii="宋体" w:hAnsi="宋体" w:eastAsia="宋体" w:cs="宋体"/>
                <w:color w:val="auto"/>
                <w:kern w:val="2"/>
                <w:sz w:val="24"/>
                <w:szCs w:val="24"/>
                <w:highlight w:val="none"/>
                <w:u w:val="none"/>
              </w:rPr>
              <w:t>1分</w:t>
            </w:r>
          </w:p>
          <w:p w14:paraId="62779D63">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u w:val="none"/>
              </w:rPr>
              <w:t>3</w:t>
            </w:r>
            <w:r>
              <w:rPr>
                <w:rFonts w:hint="eastAsia" w:ascii="宋体" w:hAnsi="宋体" w:eastAsia="宋体" w:cs="宋体"/>
                <w:color w:val="auto"/>
                <w:kern w:val="2"/>
                <w:sz w:val="24"/>
                <w:szCs w:val="24"/>
                <w:highlight w:val="none"/>
              </w:rPr>
              <w:t>、水、暖、电、智能化等各专业说明详尽、针对性强，体现新技术的应用：</w:t>
            </w:r>
            <w:r>
              <w:rPr>
                <w:rFonts w:hint="default" w:ascii="宋体" w:hAnsi="宋体" w:eastAsia="宋体" w:cs="宋体"/>
                <w:color w:val="auto"/>
                <w:kern w:val="2"/>
                <w:sz w:val="24"/>
                <w:szCs w:val="24"/>
                <w:highlight w:val="none"/>
                <w:lang w:val="en-US"/>
              </w:rPr>
              <w:t>2-</w:t>
            </w:r>
            <w:r>
              <w:rPr>
                <w:rFonts w:hint="eastAsia" w:ascii="宋体" w:hAnsi="宋体" w:eastAsia="宋体" w:cs="宋体"/>
                <w:color w:val="auto"/>
                <w:kern w:val="2"/>
                <w:sz w:val="24"/>
                <w:szCs w:val="24"/>
                <w:highlight w:val="none"/>
                <w:u w:val="none"/>
              </w:rPr>
              <w:t>3分</w:t>
            </w:r>
          </w:p>
        </w:tc>
      </w:tr>
    </w:tbl>
    <w:p w14:paraId="339D946F">
      <w:pPr>
        <w:pStyle w:val="28"/>
        <w:keepNext w:val="0"/>
        <w:keepLines w:val="0"/>
        <w:pageBreakBefore w:val="0"/>
        <w:widowControl/>
        <w:numPr>
          <w:ilvl w:val="0"/>
          <w:numId w:val="3"/>
        </w:numPr>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信息化专项</w:t>
      </w:r>
    </w:p>
    <w:tbl>
      <w:tblPr>
        <w:tblStyle w:val="18"/>
        <w:tblW w:w="4502" w:type="pct"/>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38"/>
        <w:gridCol w:w="1217"/>
        <w:gridCol w:w="5434"/>
      </w:tblGrid>
      <w:tr w14:paraId="4C8F40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blCellSpacing w:w="0" w:type="dxa"/>
          <w:jc w:val="center"/>
        </w:trPr>
        <w:tc>
          <w:tcPr>
            <w:tcW w:w="785" w:type="pct"/>
            <w:tcBorders>
              <w:top w:val="outset" w:color="auto" w:sz="6" w:space="0"/>
              <w:left w:val="outset" w:color="auto" w:sz="6" w:space="0"/>
              <w:bottom w:val="outset" w:color="auto" w:sz="6" w:space="0"/>
              <w:right w:val="outset" w:color="auto" w:sz="6" w:space="0"/>
            </w:tcBorders>
            <w:noWrap w:val="0"/>
            <w:vAlign w:val="center"/>
          </w:tcPr>
          <w:p w14:paraId="7D3ED15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评标项目</w:t>
            </w:r>
          </w:p>
        </w:tc>
        <w:tc>
          <w:tcPr>
            <w:tcW w:w="771" w:type="pct"/>
            <w:tcBorders>
              <w:top w:val="outset" w:color="auto" w:sz="6" w:space="0"/>
              <w:left w:val="outset" w:color="auto" w:sz="6" w:space="0"/>
              <w:bottom w:val="outset" w:color="auto" w:sz="6" w:space="0"/>
              <w:right w:val="outset" w:color="auto" w:sz="6" w:space="0"/>
            </w:tcBorders>
            <w:noWrap w:val="0"/>
            <w:vAlign w:val="center"/>
          </w:tcPr>
          <w:p w14:paraId="34E7AEB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评标分值</w:t>
            </w:r>
          </w:p>
        </w:tc>
        <w:tc>
          <w:tcPr>
            <w:tcW w:w="3443" w:type="pct"/>
            <w:tcBorders>
              <w:top w:val="outset" w:color="auto" w:sz="6" w:space="0"/>
              <w:left w:val="outset" w:color="auto" w:sz="6" w:space="0"/>
              <w:bottom w:val="outset" w:color="auto" w:sz="6" w:space="0"/>
              <w:right w:val="outset" w:color="auto" w:sz="6" w:space="0"/>
            </w:tcBorders>
            <w:noWrap w:val="0"/>
            <w:vAlign w:val="center"/>
          </w:tcPr>
          <w:p w14:paraId="25267CC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评标方法描述</w:t>
            </w:r>
          </w:p>
        </w:tc>
      </w:tr>
      <w:tr w14:paraId="305DA2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785" w:type="pct"/>
            <w:tcBorders>
              <w:top w:val="outset" w:color="auto" w:sz="6" w:space="0"/>
              <w:left w:val="outset" w:color="auto" w:sz="6" w:space="0"/>
              <w:bottom w:val="outset" w:color="auto" w:sz="6" w:space="0"/>
              <w:right w:val="outset" w:color="auto" w:sz="6" w:space="0"/>
            </w:tcBorders>
            <w:noWrap w:val="0"/>
            <w:vAlign w:val="center"/>
          </w:tcPr>
          <w:p w14:paraId="652F0169">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技术符合性</w:t>
            </w:r>
          </w:p>
        </w:tc>
        <w:tc>
          <w:tcPr>
            <w:tcW w:w="771" w:type="pct"/>
            <w:tcBorders>
              <w:top w:val="outset" w:color="auto" w:sz="6" w:space="0"/>
              <w:left w:val="outset" w:color="auto" w:sz="6" w:space="0"/>
              <w:bottom w:val="outset" w:color="auto" w:sz="6" w:space="0"/>
              <w:right w:val="outset" w:color="auto" w:sz="6" w:space="0"/>
            </w:tcBorders>
            <w:noWrap w:val="0"/>
            <w:vAlign w:val="center"/>
          </w:tcPr>
          <w:p w14:paraId="708A41C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11</w:t>
            </w:r>
          </w:p>
        </w:tc>
        <w:tc>
          <w:tcPr>
            <w:tcW w:w="3443" w:type="pct"/>
            <w:tcBorders>
              <w:top w:val="outset" w:color="auto" w:sz="6" w:space="0"/>
              <w:left w:val="outset" w:color="auto" w:sz="6" w:space="0"/>
              <w:bottom w:val="outset" w:color="auto" w:sz="6" w:space="0"/>
              <w:right w:val="outset" w:color="auto" w:sz="6" w:space="0"/>
            </w:tcBorders>
            <w:noWrap w:val="0"/>
            <w:vAlign w:val="center"/>
          </w:tcPr>
          <w:p w14:paraId="306241A9">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根据各投标人对招标文件《第三章招标内容及要求》各项技术要求的逐项应答情况并结合相关佐证材料（若有）由评委进行评议并评分，完全满足招标文件要求的得</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分，正偏离不加分，每负偏离一项扣</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分，技术参数不满足招标文件要求的将导致投标无效。</w:t>
            </w:r>
          </w:p>
        </w:tc>
      </w:tr>
      <w:tr w14:paraId="784B1F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785" w:type="pct"/>
            <w:tcBorders>
              <w:top w:val="outset" w:color="auto" w:sz="6" w:space="0"/>
              <w:left w:val="outset" w:color="auto" w:sz="6" w:space="0"/>
              <w:bottom w:val="outset" w:color="auto" w:sz="6" w:space="0"/>
              <w:right w:val="outset" w:color="auto" w:sz="6" w:space="0"/>
            </w:tcBorders>
            <w:noWrap w:val="0"/>
            <w:vAlign w:val="center"/>
          </w:tcPr>
          <w:p w14:paraId="524AE2D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咨询进度、组织等计划方案</w:t>
            </w:r>
          </w:p>
        </w:tc>
        <w:tc>
          <w:tcPr>
            <w:tcW w:w="771" w:type="pct"/>
            <w:tcBorders>
              <w:top w:val="outset" w:color="auto" w:sz="6" w:space="0"/>
              <w:left w:val="outset" w:color="auto" w:sz="6" w:space="0"/>
              <w:bottom w:val="outset" w:color="auto" w:sz="6" w:space="0"/>
              <w:right w:val="outset" w:color="auto" w:sz="6" w:space="0"/>
            </w:tcBorders>
            <w:noWrap w:val="0"/>
            <w:vAlign w:val="center"/>
          </w:tcPr>
          <w:p w14:paraId="77AD2D6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3443" w:type="pct"/>
            <w:tcBorders>
              <w:top w:val="outset" w:color="auto" w:sz="6" w:space="0"/>
              <w:left w:val="outset" w:color="auto" w:sz="6" w:space="0"/>
              <w:bottom w:val="outset" w:color="auto" w:sz="6" w:space="0"/>
              <w:right w:val="outset" w:color="auto" w:sz="6" w:space="0"/>
            </w:tcBorders>
            <w:noWrap w:val="0"/>
            <w:vAlign w:val="center"/>
          </w:tcPr>
          <w:p w14:paraId="269EECE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根据各投标人提供的咨询进度、组织等计划，工期进度计划合理情况进行评分。对各阶段预期的交付成果、序时进度能准确把握，对工期进度有具体的分析和承诺的得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分，对各阶段预期的交付成果、序时进度能粗略把握，对工期进度有的分析但无具体承诺的得</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分，设计方案阐述简短或无实质内容或方案可操作性不强的得</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分，方案不合理或未提供方案的本项得0分。</w:t>
            </w:r>
          </w:p>
        </w:tc>
      </w:tr>
      <w:tr w14:paraId="156EA0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785" w:type="pct"/>
            <w:tcBorders>
              <w:top w:val="outset" w:color="auto" w:sz="6" w:space="0"/>
              <w:left w:val="outset" w:color="auto" w:sz="6" w:space="0"/>
              <w:bottom w:val="outset" w:color="auto" w:sz="6" w:space="0"/>
              <w:right w:val="outset" w:color="auto" w:sz="6" w:space="0"/>
            </w:tcBorders>
            <w:noWrap w:val="0"/>
            <w:vAlign w:val="center"/>
          </w:tcPr>
          <w:p w14:paraId="60FE9E7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咨询设计方案</w:t>
            </w:r>
          </w:p>
        </w:tc>
        <w:tc>
          <w:tcPr>
            <w:tcW w:w="771" w:type="pct"/>
            <w:tcBorders>
              <w:top w:val="outset" w:color="auto" w:sz="6" w:space="0"/>
              <w:left w:val="outset" w:color="auto" w:sz="6" w:space="0"/>
              <w:bottom w:val="outset" w:color="auto" w:sz="6" w:space="0"/>
              <w:right w:val="outset" w:color="auto" w:sz="6" w:space="0"/>
            </w:tcBorders>
            <w:noWrap w:val="0"/>
            <w:vAlign w:val="center"/>
          </w:tcPr>
          <w:p w14:paraId="7081A5E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3443" w:type="pct"/>
            <w:tcBorders>
              <w:top w:val="outset" w:color="auto" w:sz="6" w:space="0"/>
              <w:left w:val="outset" w:color="auto" w:sz="6" w:space="0"/>
              <w:bottom w:val="outset" w:color="auto" w:sz="6" w:space="0"/>
              <w:right w:val="outset" w:color="auto" w:sz="6" w:space="0"/>
            </w:tcBorders>
            <w:noWrap w:val="0"/>
            <w:vAlign w:val="center"/>
          </w:tcPr>
          <w:p w14:paraId="08CB7E5B">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根据各投标人对本项目的具体特点的理解情况进行评分。投标人对本项目有深刻认识，制定的咨询设计方案的框架合理详实的得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分，设计框架部分内容可操作性较强的得</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分，设计框架阐述简短或无实质内容或方案可操作性不强的得</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分，方案不合理或未提供方案的本项得0分。</w:t>
            </w:r>
          </w:p>
        </w:tc>
      </w:tr>
      <w:tr w14:paraId="0312CF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785" w:type="pct"/>
            <w:tcBorders>
              <w:top w:val="outset" w:color="auto" w:sz="6" w:space="0"/>
              <w:left w:val="outset" w:color="auto" w:sz="6" w:space="0"/>
              <w:bottom w:val="outset" w:color="auto" w:sz="6" w:space="0"/>
              <w:right w:val="outset" w:color="auto" w:sz="6" w:space="0"/>
            </w:tcBorders>
            <w:noWrap w:val="0"/>
            <w:vAlign w:val="center"/>
          </w:tcPr>
          <w:p w14:paraId="1AB5362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需求理解</w:t>
            </w:r>
          </w:p>
        </w:tc>
        <w:tc>
          <w:tcPr>
            <w:tcW w:w="771" w:type="pct"/>
            <w:tcBorders>
              <w:top w:val="outset" w:color="auto" w:sz="6" w:space="0"/>
              <w:left w:val="outset" w:color="auto" w:sz="6" w:space="0"/>
              <w:bottom w:val="outset" w:color="auto" w:sz="6" w:space="0"/>
              <w:right w:val="outset" w:color="auto" w:sz="6" w:space="0"/>
            </w:tcBorders>
            <w:noWrap w:val="0"/>
            <w:vAlign w:val="center"/>
          </w:tcPr>
          <w:p w14:paraId="0518F61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3443" w:type="pct"/>
            <w:tcBorders>
              <w:top w:val="outset" w:color="auto" w:sz="6" w:space="0"/>
              <w:left w:val="outset" w:color="auto" w:sz="6" w:space="0"/>
              <w:bottom w:val="outset" w:color="auto" w:sz="6" w:space="0"/>
              <w:right w:val="outset" w:color="auto" w:sz="6" w:space="0"/>
            </w:tcBorders>
            <w:noWrap w:val="0"/>
            <w:vAlign w:val="center"/>
          </w:tcPr>
          <w:p w14:paraId="3646D70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根据投标人对本项目的了解，阐述对信息系统等的需求理解程度进行评分。投标人对采购需求有深刻认识，对项目的重点、难点做详细分析并制定合理的解决方案的得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分；对需求理解一般且制定的解决方案较为合理的得</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分，对需求理解阐述简短或无实质内容或方案可操作性不强的得</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分，需求理解错误或未提供方案的本项得0分。</w:t>
            </w:r>
          </w:p>
        </w:tc>
      </w:tr>
      <w:tr w14:paraId="1B2D5E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785" w:type="pct"/>
            <w:tcBorders>
              <w:top w:val="outset" w:color="auto" w:sz="6" w:space="0"/>
              <w:left w:val="outset" w:color="auto" w:sz="6" w:space="0"/>
              <w:bottom w:val="outset" w:color="auto" w:sz="6" w:space="0"/>
              <w:right w:val="outset" w:color="auto" w:sz="6" w:space="0"/>
            </w:tcBorders>
            <w:noWrap w:val="0"/>
            <w:vAlign w:val="center"/>
          </w:tcPr>
          <w:p w14:paraId="03368CE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业务系统的规范性</w:t>
            </w:r>
          </w:p>
        </w:tc>
        <w:tc>
          <w:tcPr>
            <w:tcW w:w="771" w:type="pct"/>
            <w:tcBorders>
              <w:top w:val="outset" w:color="auto" w:sz="6" w:space="0"/>
              <w:left w:val="outset" w:color="auto" w:sz="6" w:space="0"/>
              <w:bottom w:val="outset" w:color="auto" w:sz="6" w:space="0"/>
              <w:right w:val="outset" w:color="auto" w:sz="6" w:space="0"/>
            </w:tcBorders>
            <w:noWrap w:val="0"/>
            <w:vAlign w:val="center"/>
          </w:tcPr>
          <w:p w14:paraId="1DBA885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3443" w:type="pct"/>
            <w:tcBorders>
              <w:top w:val="outset" w:color="auto" w:sz="6" w:space="0"/>
              <w:left w:val="outset" w:color="auto" w:sz="6" w:space="0"/>
              <w:bottom w:val="outset" w:color="auto" w:sz="6" w:space="0"/>
              <w:right w:val="outset" w:color="auto" w:sz="6" w:space="0"/>
            </w:tcBorders>
            <w:noWrap w:val="0"/>
            <w:vAlign w:val="center"/>
          </w:tcPr>
          <w:p w14:paraId="48143C5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根据投标人业务系统设计、技术规范及要求的符合性、一致性情况进行评分。投标人的建设方案设计在体系结构、功能模块、遵循标准设计等方面描述详实且可操作性强的得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分，部分内容可操作性较强的得</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分，阐述简短或无实质内容或方案可操作性不强的得</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分，方案不合理或未提供方案的本项得0分。</w:t>
            </w:r>
          </w:p>
        </w:tc>
      </w:tr>
      <w:tr w14:paraId="39122F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785" w:type="pct"/>
            <w:tcBorders>
              <w:top w:val="outset" w:color="auto" w:sz="6" w:space="0"/>
              <w:left w:val="outset" w:color="auto" w:sz="6" w:space="0"/>
              <w:bottom w:val="outset" w:color="auto" w:sz="6" w:space="0"/>
              <w:right w:val="outset" w:color="auto" w:sz="6" w:space="0"/>
            </w:tcBorders>
            <w:noWrap w:val="0"/>
            <w:vAlign w:val="center"/>
          </w:tcPr>
          <w:p w14:paraId="33D021F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项目服务保障措施</w:t>
            </w:r>
          </w:p>
        </w:tc>
        <w:tc>
          <w:tcPr>
            <w:tcW w:w="771" w:type="pct"/>
            <w:tcBorders>
              <w:top w:val="outset" w:color="auto" w:sz="6" w:space="0"/>
              <w:left w:val="outset" w:color="auto" w:sz="6" w:space="0"/>
              <w:bottom w:val="outset" w:color="auto" w:sz="6" w:space="0"/>
              <w:right w:val="outset" w:color="auto" w:sz="6" w:space="0"/>
            </w:tcBorders>
            <w:noWrap w:val="0"/>
            <w:vAlign w:val="center"/>
          </w:tcPr>
          <w:p w14:paraId="4E747EF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p>
        </w:tc>
        <w:tc>
          <w:tcPr>
            <w:tcW w:w="3443" w:type="pct"/>
            <w:tcBorders>
              <w:top w:val="outset" w:color="auto" w:sz="6" w:space="0"/>
              <w:left w:val="outset" w:color="auto" w:sz="6" w:space="0"/>
              <w:bottom w:val="outset" w:color="auto" w:sz="6" w:space="0"/>
              <w:right w:val="outset" w:color="auto" w:sz="6" w:space="0"/>
            </w:tcBorders>
            <w:noWrap w:val="0"/>
            <w:vAlign w:val="center"/>
          </w:tcPr>
          <w:p w14:paraId="6D0B605A">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根据投标人针对本项目提供的项目服务保障措施情况进行评分，方案表述完整，清晰明确的得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分，方案表述一般得</w:t>
            </w:r>
            <w:r>
              <w:rPr>
                <w:rFonts w:hint="eastAsia" w:ascii="宋体" w:hAnsi="宋体" w:eastAsia="宋体" w:cs="宋体"/>
                <w:sz w:val="24"/>
                <w:szCs w:val="24"/>
                <w:highlight w:val="none"/>
                <w:lang w:val="en-US" w:eastAsia="zh-CN"/>
              </w:rPr>
              <w:t>1.8</w:t>
            </w:r>
            <w:r>
              <w:rPr>
                <w:rFonts w:hint="eastAsia" w:ascii="宋体" w:hAnsi="宋体" w:eastAsia="宋体" w:cs="宋体"/>
                <w:sz w:val="24"/>
                <w:szCs w:val="24"/>
                <w:highlight w:val="none"/>
              </w:rPr>
              <w:t>分,方案无实质内容或可操作性不强的得</w:t>
            </w:r>
            <w:r>
              <w:rPr>
                <w:rFonts w:hint="eastAsia" w:ascii="宋体" w:hAnsi="宋体" w:eastAsia="宋体" w:cs="宋体"/>
                <w:sz w:val="24"/>
                <w:szCs w:val="24"/>
                <w:highlight w:val="none"/>
                <w:lang w:val="en-US" w:eastAsia="zh-CN"/>
              </w:rPr>
              <w:t>1.7</w:t>
            </w:r>
            <w:r>
              <w:rPr>
                <w:rFonts w:hint="eastAsia" w:ascii="宋体" w:hAnsi="宋体" w:eastAsia="宋体" w:cs="宋体"/>
                <w:sz w:val="24"/>
                <w:szCs w:val="24"/>
                <w:highlight w:val="none"/>
              </w:rPr>
              <w:t>分，未提供说明情况的本项得0分。</w:t>
            </w:r>
          </w:p>
        </w:tc>
      </w:tr>
      <w:tr w14:paraId="336664C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785" w:type="pct"/>
            <w:vMerge w:val="restart"/>
            <w:tcBorders>
              <w:top w:val="outset" w:color="auto" w:sz="6" w:space="0"/>
              <w:left w:val="outset" w:color="auto" w:sz="6" w:space="0"/>
              <w:right w:val="outset" w:color="auto" w:sz="6" w:space="0"/>
            </w:tcBorders>
            <w:noWrap w:val="0"/>
            <w:vAlign w:val="center"/>
          </w:tcPr>
          <w:p w14:paraId="4728C14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在服务支撑方面，具有自主研发的基于移动互联网的项目管理平台工具软件</w:t>
            </w:r>
          </w:p>
        </w:tc>
        <w:tc>
          <w:tcPr>
            <w:tcW w:w="771" w:type="pct"/>
            <w:tcBorders>
              <w:top w:val="outset" w:color="auto" w:sz="6" w:space="0"/>
              <w:left w:val="outset" w:color="auto" w:sz="6" w:space="0"/>
              <w:bottom w:val="outset" w:color="auto" w:sz="6" w:space="0"/>
              <w:right w:val="outset" w:color="auto" w:sz="6" w:space="0"/>
            </w:tcBorders>
            <w:noWrap w:val="0"/>
            <w:vAlign w:val="center"/>
          </w:tcPr>
          <w:p w14:paraId="2DF074E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3443" w:type="pct"/>
            <w:tcBorders>
              <w:top w:val="outset" w:color="auto" w:sz="6" w:space="0"/>
              <w:left w:val="outset" w:color="auto" w:sz="6" w:space="0"/>
              <w:bottom w:val="outset" w:color="auto" w:sz="6" w:space="0"/>
              <w:right w:val="outset" w:color="auto" w:sz="6" w:space="0"/>
            </w:tcBorders>
            <w:noWrap w:val="0"/>
            <w:vAlign w:val="center"/>
          </w:tcPr>
          <w:p w14:paraId="3E788006">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具有自主研发的基于互联网的项目管理平台工具软件。平台应具有多项目管理功能，（1）支持基于微信沟通消息功能（2）支持便利的工作台；（3）支持项目人员信息集成管理功能；（4）支持项目合同管理功能；（5）支持连接微信企业号的通讯录功能；（6）支持项目进度管理，以上每项功能得0.5分。需提供与功能对应的截图与文字说明，不提供不得分，最高得3分。</w:t>
            </w:r>
          </w:p>
        </w:tc>
      </w:tr>
      <w:tr w14:paraId="5D06A71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jc w:val="center"/>
        </w:trPr>
        <w:tc>
          <w:tcPr>
            <w:tcW w:w="785" w:type="pct"/>
            <w:vMerge w:val="continue"/>
            <w:tcBorders>
              <w:left w:val="outset" w:color="auto" w:sz="6" w:space="0"/>
              <w:bottom w:val="outset" w:color="auto" w:sz="6" w:space="0"/>
              <w:right w:val="outset" w:color="auto" w:sz="6" w:space="0"/>
            </w:tcBorders>
            <w:noWrap w:val="0"/>
            <w:vAlign w:val="center"/>
          </w:tcPr>
          <w:p w14:paraId="427892B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771" w:type="pct"/>
            <w:tcBorders>
              <w:top w:val="outset" w:color="auto" w:sz="6" w:space="0"/>
              <w:left w:val="outset" w:color="auto" w:sz="6" w:space="0"/>
              <w:bottom w:val="outset" w:color="auto" w:sz="6" w:space="0"/>
              <w:right w:val="outset" w:color="auto" w:sz="6" w:space="0"/>
            </w:tcBorders>
            <w:noWrap w:val="0"/>
            <w:vAlign w:val="center"/>
          </w:tcPr>
          <w:p w14:paraId="3567D26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p>
        </w:tc>
        <w:tc>
          <w:tcPr>
            <w:tcW w:w="3443" w:type="pct"/>
            <w:tcBorders>
              <w:top w:val="outset" w:color="auto" w:sz="6" w:space="0"/>
              <w:left w:val="outset" w:color="auto" w:sz="6" w:space="0"/>
              <w:bottom w:val="outset" w:color="auto" w:sz="6" w:space="0"/>
              <w:right w:val="outset" w:color="auto" w:sz="6" w:space="0"/>
            </w:tcBorders>
            <w:noWrap w:val="0"/>
            <w:vAlign w:val="center"/>
          </w:tcPr>
          <w:p w14:paraId="68E00C33">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提供该项目协同平台的计算机软件著作权登记证书，得</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分.</w:t>
            </w:r>
          </w:p>
        </w:tc>
      </w:tr>
    </w:tbl>
    <w:p w14:paraId="257086A8">
      <w:pPr>
        <w:pageBreakBefore w:val="0"/>
        <w:kinsoku/>
        <w:wordWrap/>
        <w:overflowPunct/>
        <w:topLinePunct w:val="0"/>
        <w:bidi w:val="0"/>
        <w:spacing w:line="400" w:lineRule="exact"/>
        <w:textAlignment w:val="auto"/>
        <w:rPr>
          <w:rFonts w:hint="default" w:ascii="宋体" w:hAnsi="宋体" w:eastAsia="宋体" w:cs="宋体"/>
          <w:b/>
          <w:bCs/>
          <w:sz w:val="24"/>
          <w:szCs w:val="24"/>
          <w:highlight w:val="none"/>
          <w:lang w:val="en-US" w:eastAsia="zh-CN"/>
        </w:rPr>
      </w:pPr>
      <w:r>
        <w:rPr>
          <w:rFonts w:hint="default" w:ascii="宋体" w:hAnsi="宋体" w:eastAsia="宋体" w:cs="宋体"/>
          <w:b/>
          <w:bCs/>
          <w:sz w:val="24"/>
          <w:szCs w:val="24"/>
          <w:highlight w:val="none"/>
          <w:lang w:val="en-US" w:eastAsia="zh-CN"/>
        </w:rPr>
        <w:br w:type="page"/>
      </w:r>
    </w:p>
    <w:p w14:paraId="2B73DBB8">
      <w:pPr>
        <w:pStyle w:val="28"/>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default" w:ascii="宋体" w:hAnsi="宋体" w:eastAsia="宋体" w:cs="宋体"/>
          <w:b/>
          <w:bCs/>
          <w:sz w:val="24"/>
          <w:szCs w:val="24"/>
          <w:highlight w:val="none"/>
          <w:lang w:val="en-US" w:eastAsia="zh-CN"/>
        </w:rPr>
      </w:pPr>
    </w:p>
    <w:p w14:paraId="09C079D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商务部分评分PB 满分为</w:t>
      </w:r>
      <w:r>
        <w:rPr>
          <w:rFonts w:hint="eastAsia" w:ascii="宋体" w:hAnsi="宋体" w:eastAsia="宋体" w:cs="宋体"/>
          <w:b/>
          <w:bCs/>
          <w:sz w:val="24"/>
          <w:szCs w:val="24"/>
          <w:highlight w:val="none"/>
          <w:lang w:val="en-US" w:eastAsia="zh-CN"/>
        </w:rPr>
        <w:t>25</w:t>
      </w:r>
      <w:r>
        <w:rPr>
          <w:rFonts w:hint="eastAsia" w:ascii="宋体" w:hAnsi="宋体" w:eastAsia="宋体" w:cs="宋体"/>
          <w:b/>
          <w:bCs/>
          <w:sz w:val="24"/>
          <w:szCs w:val="24"/>
          <w:highlight w:val="none"/>
        </w:rPr>
        <w:t>分</w:t>
      </w:r>
    </w:p>
    <w:tbl>
      <w:tblPr>
        <w:tblStyle w:val="18"/>
        <w:tblpPr w:leftFromText="180" w:rightFromText="180" w:vertAnchor="text" w:horzAnchor="page" w:tblpX="2143" w:tblpY="408"/>
        <w:tblOverlap w:val="never"/>
        <w:tblW w:w="83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5"/>
        <w:gridCol w:w="1210"/>
        <w:gridCol w:w="930"/>
        <w:gridCol w:w="5168"/>
      </w:tblGrid>
      <w:tr w14:paraId="4DDC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 w:hRule="atLeast"/>
          <w:tblHeader/>
        </w:trPr>
        <w:tc>
          <w:tcPr>
            <w:tcW w:w="1025" w:type="dxa"/>
            <w:noWrap w:val="0"/>
            <w:tcMar>
              <w:left w:w="108" w:type="dxa"/>
              <w:right w:w="108" w:type="dxa"/>
            </w:tcMar>
            <w:vAlign w:val="center"/>
          </w:tcPr>
          <w:p w14:paraId="0165DBEB">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b/>
                <w:color w:val="auto"/>
                <w:kern w:val="2"/>
                <w:sz w:val="24"/>
                <w:szCs w:val="24"/>
                <w:highlight w:val="none"/>
              </w:rPr>
              <w:t>评分项目</w:t>
            </w:r>
          </w:p>
        </w:tc>
        <w:tc>
          <w:tcPr>
            <w:tcW w:w="1210" w:type="dxa"/>
            <w:noWrap w:val="0"/>
            <w:tcMar>
              <w:left w:w="108" w:type="dxa"/>
              <w:right w:w="108" w:type="dxa"/>
            </w:tcMar>
            <w:vAlign w:val="center"/>
          </w:tcPr>
          <w:p w14:paraId="21811483">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b/>
                <w:color w:val="auto"/>
                <w:kern w:val="2"/>
                <w:sz w:val="24"/>
                <w:szCs w:val="24"/>
                <w:highlight w:val="none"/>
              </w:rPr>
              <w:t>评审内容</w:t>
            </w:r>
          </w:p>
        </w:tc>
        <w:tc>
          <w:tcPr>
            <w:tcW w:w="930" w:type="dxa"/>
            <w:noWrap w:val="0"/>
            <w:tcMar>
              <w:left w:w="108" w:type="dxa"/>
              <w:right w:w="108" w:type="dxa"/>
            </w:tcMar>
            <w:vAlign w:val="center"/>
          </w:tcPr>
          <w:p w14:paraId="34D2EE4B">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rPr>
              <w:t>分值</w:t>
            </w:r>
            <w:r>
              <w:rPr>
                <w:rFonts w:hint="eastAsia" w:ascii="宋体" w:hAnsi="宋体" w:eastAsia="宋体" w:cs="宋体"/>
                <w:b/>
                <w:color w:val="auto"/>
                <w:kern w:val="2"/>
                <w:sz w:val="24"/>
                <w:szCs w:val="24"/>
                <w:highlight w:val="none"/>
                <w:lang w:eastAsia="zh-CN"/>
              </w:rPr>
              <w:t>（</w:t>
            </w:r>
            <w:r>
              <w:rPr>
                <w:rFonts w:hint="eastAsia" w:ascii="宋体" w:hAnsi="宋体" w:eastAsia="宋体" w:cs="宋体"/>
                <w:b/>
                <w:color w:val="auto"/>
                <w:kern w:val="2"/>
                <w:sz w:val="24"/>
                <w:szCs w:val="24"/>
                <w:highlight w:val="none"/>
              </w:rPr>
              <w:t>分）</w:t>
            </w:r>
          </w:p>
        </w:tc>
        <w:tc>
          <w:tcPr>
            <w:tcW w:w="5168" w:type="dxa"/>
            <w:noWrap w:val="0"/>
            <w:tcMar>
              <w:left w:w="108" w:type="dxa"/>
              <w:right w:w="108" w:type="dxa"/>
            </w:tcMar>
            <w:vAlign w:val="center"/>
          </w:tcPr>
          <w:p w14:paraId="2F035260">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b/>
                <w:color w:val="auto"/>
                <w:kern w:val="2"/>
                <w:sz w:val="24"/>
                <w:szCs w:val="24"/>
                <w:highlight w:val="none"/>
              </w:rPr>
              <w:t>评分标准</w:t>
            </w:r>
          </w:p>
        </w:tc>
      </w:tr>
      <w:tr w14:paraId="7326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6" w:hRule="atLeast"/>
        </w:trPr>
        <w:tc>
          <w:tcPr>
            <w:tcW w:w="1025" w:type="dxa"/>
            <w:vMerge w:val="restart"/>
            <w:noWrap w:val="0"/>
            <w:tcMar>
              <w:left w:w="108" w:type="dxa"/>
              <w:right w:w="108" w:type="dxa"/>
            </w:tcMar>
            <w:vAlign w:val="center"/>
          </w:tcPr>
          <w:p w14:paraId="485D1730">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企业</w:t>
            </w:r>
          </w:p>
          <w:p w14:paraId="32AC4B60">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分）</w:t>
            </w:r>
          </w:p>
        </w:tc>
        <w:tc>
          <w:tcPr>
            <w:tcW w:w="1210" w:type="dxa"/>
            <w:noWrap w:val="0"/>
            <w:tcMar>
              <w:left w:w="108" w:type="dxa"/>
              <w:right w:w="108" w:type="dxa"/>
            </w:tcMar>
            <w:vAlign w:val="center"/>
          </w:tcPr>
          <w:p w14:paraId="7B295904">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技术实力</w:t>
            </w:r>
          </w:p>
        </w:tc>
        <w:tc>
          <w:tcPr>
            <w:tcW w:w="930" w:type="dxa"/>
            <w:noWrap w:val="0"/>
            <w:tcMar>
              <w:left w:w="108" w:type="dxa"/>
              <w:right w:w="108" w:type="dxa"/>
            </w:tcMar>
            <w:vAlign w:val="center"/>
          </w:tcPr>
          <w:p w14:paraId="4600B358">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1</w:t>
            </w:r>
          </w:p>
        </w:tc>
        <w:tc>
          <w:tcPr>
            <w:tcW w:w="5168" w:type="dxa"/>
            <w:noWrap w:val="0"/>
            <w:tcMar>
              <w:left w:w="108" w:type="dxa"/>
              <w:right w:w="108" w:type="dxa"/>
            </w:tcMar>
            <w:vAlign w:val="center"/>
          </w:tcPr>
          <w:p w14:paraId="13AA87E5">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具有建筑工程设计甲级资质等级</w:t>
            </w:r>
            <w:r>
              <w:rPr>
                <w:rFonts w:hint="eastAsia" w:ascii="宋体" w:hAnsi="宋体" w:eastAsia="宋体" w:cs="宋体"/>
                <w:color w:val="auto"/>
                <w:kern w:val="2"/>
                <w:sz w:val="24"/>
                <w:szCs w:val="24"/>
                <w:highlight w:val="none"/>
                <w:lang w:val="en-US" w:eastAsia="zh-CN"/>
              </w:rPr>
              <w:t>得</w:t>
            </w:r>
            <w:r>
              <w:rPr>
                <w:rFonts w:hint="eastAsia" w:ascii="宋体" w:hAnsi="宋体" w:eastAsia="宋体" w:cs="宋体"/>
                <w:color w:val="auto"/>
                <w:kern w:val="2"/>
                <w:sz w:val="24"/>
                <w:szCs w:val="24"/>
                <w:highlight w:val="none"/>
                <w:lang w:val="en-US"/>
              </w:rPr>
              <w:t>1</w:t>
            </w:r>
            <w:r>
              <w:rPr>
                <w:rFonts w:hint="eastAsia" w:ascii="宋体" w:hAnsi="宋体" w:eastAsia="宋体" w:cs="宋体"/>
                <w:color w:val="auto"/>
                <w:kern w:val="2"/>
                <w:sz w:val="24"/>
                <w:szCs w:val="24"/>
                <w:highlight w:val="none"/>
              </w:rPr>
              <w:t>分</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lang w:val="en-US" w:eastAsia="zh-CN"/>
              </w:rPr>
              <w:t>未提供的不得分</w:t>
            </w:r>
            <w:r>
              <w:rPr>
                <w:rFonts w:hint="eastAsia" w:ascii="宋体" w:hAnsi="宋体" w:eastAsia="宋体" w:cs="宋体"/>
                <w:color w:val="auto"/>
                <w:kern w:val="2"/>
                <w:sz w:val="24"/>
                <w:szCs w:val="24"/>
                <w:highlight w:val="none"/>
              </w:rPr>
              <w:t>。</w:t>
            </w:r>
          </w:p>
        </w:tc>
      </w:tr>
      <w:tr w14:paraId="110A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3" w:hRule="atLeast"/>
        </w:trPr>
        <w:tc>
          <w:tcPr>
            <w:tcW w:w="1025" w:type="dxa"/>
            <w:vMerge w:val="continue"/>
            <w:noWrap w:val="0"/>
            <w:tcMar>
              <w:left w:w="108" w:type="dxa"/>
              <w:right w:w="108" w:type="dxa"/>
            </w:tcMar>
            <w:vAlign w:val="center"/>
          </w:tcPr>
          <w:p w14:paraId="49785462">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noWrap w:val="0"/>
            <w:tcMar>
              <w:left w:w="108" w:type="dxa"/>
              <w:right w:w="108" w:type="dxa"/>
            </w:tcMar>
            <w:vAlign w:val="center"/>
          </w:tcPr>
          <w:p w14:paraId="5C0B4A41">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以往业绩</w:t>
            </w:r>
          </w:p>
        </w:tc>
        <w:tc>
          <w:tcPr>
            <w:tcW w:w="930" w:type="dxa"/>
            <w:noWrap w:val="0"/>
            <w:tcMar>
              <w:left w:w="108" w:type="dxa"/>
              <w:right w:w="108" w:type="dxa"/>
            </w:tcMar>
            <w:vAlign w:val="center"/>
          </w:tcPr>
          <w:p w14:paraId="58DA1B4A">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3</w:t>
            </w:r>
          </w:p>
        </w:tc>
        <w:tc>
          <w:tcPr>
            <w:tcW w:w="5168" w:type="dxa"/>
            <w:noWrap w:val="0"/>
            <w:tcMar>
              <w:left w:w="108" w:type="dxa"/>
              <w:right w:w="108" w:type="dxa"/>
            </w:tcMar>
            <w:vAlign w:val="center"/>
          </w:tcPr>
          <w:p w14:paraId="1905185C">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rPr>
              <w:t>投标人近五年（指2018年1月1日至开标截止之日止</w:t>
            </w:r>
            <w:r>
              <w:rPr>
                <w:rFonts w:hint="eastAsia" w:ascii="宋体" w:hAnsi="宋体" w:eastAsia="宋体" w:cs="宋体"/>
                <w:color w:val="auto"/>
                <w:kern w:val="2"/>
                <w:sz w:val="24"/>
                <w:szCs w:val="24"/>
                <w:highlight w:val="none"/>
                <w:lang w:eastAsia="zh-CN"/>
              </w:rPr>
              <w:t>，下同。</w:t>
            </w:r>
            <w:r>
              <w:rPr>
                <w:rFonts w:hint="eastAsia" w:ascii="宋体" w:hAnsi="宋体" w:eastAsia="宋体" w:cs="宋体"/>
                <w:color w:val="auto"/>
                <w:kern w:val="2"/>
                <w:sz w:val="24"/>
                <w:szCs w:val="24"/>
                <w:highlight w:val="none"/>
              </w:rPr>
              <w:t>）内</w:t>
            </w:r>
            <w:r>
              <w:rPr>
                <w:rFonts w:hint="eastAsia" w:ascii="宋体" w:hAnsi="宋体" w:eastAsia="宋体" w:cs="宋体"/>
                <w:color w:val="auto"/>
                <w:kern w:val="2"/>
                <w:sz w:val="24"/>
                <w:szCs w:val="24"/>
                <w:highlight w:val="none"/>
                <w:lang w:eastAsia="zh-CN"/>
              </w:rPr>
              <w:t>每</w:t>
            </w:r>
            <w:r>
              <w:rPr>
                <w:rFonts w:hint="eastAsia" w:ascii="宋体" w:hAnsi="宋体" w:eastAsia="宋体" w:cs="宋体"/>
                <w:color w:val="auto"/>
                <w:kern w:val="2"/>
                <w:sz w:val="24"/>
                <w:szCs w:val="24"/>
                <w:highlight w:val="none"/>
              </w:rPr>
              <w:t>承担过一项类似工程业绩</w:t>
            </w:r>
            <w:r>
              <w:rPr>
                <w:rFonts w:hint="eastAsia" w:ascii="宋体" w:hAnsi="宋体" w:eastAsia="宋体" w:cs="宋体"/>
                <w:color w:val="auto"/>
                <w:kern w:val="2"/>
                <w:sz w:val="24"/>
                <w:szCs w:val="24"/>
                <w:highlight w:val="none"/>
                <w:lang w:eastAsia="zh-CN"/>
              </w:rPr>
              <w:t>的</w:t>
            </w:r>
            <w:r>
              <w:rPr>
                <w:rFonts w:hint="eastAsia" w:ascii="宋体" w:hAnsi="宋体" w:eastAsia="宋体" w:cs="宋体"/>
                <w:color w:val="auto"/>
                <w:kern w:val="2"/>
                <w:sz w:val="24"/>
                <w:szCs w:val="24"/>
                <w:highlight w:val="none"/>
              </w:rPr>
              <w:t>得1分，</w:t>
            </w:r>
            <w:r>
              <w:rPr>
                <w:rFonts w:hint="eastAsia" w:ascii="宋体" w:hAnsi="宋体" w:eastAsia="宋体" w:cs="宋体"/>
                <w:bCs/>
                <w:color w:val="auto"/>
                <w:sz w:val="24"/>
                <w:szCs w:val="24"/>
                <w:highlight w:val="none"/>
                <w:lang w:eastAsia="zh-CN"/>
              </w:rPr>
              <w:t>满分</w:t>
            </w:r>
            <w:r>
              <w:rPr>
                <w:rFonts w:hint="eastAsia" w:ascii="宋体" w:hAnsi="宋体" w:eastAsia="宋体" w:cs="宋体"/>
                <w:bCs/>
                <w:color w:val="auto"/>
                <w:sz w:val="24"/>
                <w:szCs w:val="24"/>
                <w:highlight w:val="none"/>
                <w:lang w:val="en-US" w:eastAsia="zh-CN"/>
              </w:rPr>
              <w:t>3分</w:t>
            </w:r>
            <w:r>
              <w:rPr>
                <w:rFonts w:hint="eastAsia" w:ascii="宋体" w:hAnsi="宋体" w:eastAsia="宋体" w:cs="宋体"/>
                <w:bCs/>
                <w:color w:val="auto"/>
                <w:sz w:val="24"/>
                <w:szCs w:val="24"/>
                <w:highlight w:val="none"/>
              </w:rPr>
              <w:t>。</w:t>
            </w:r>
          </w:p>
        </w:tc>
      </w:tr>
      <w:tr w14:paraId="53BC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8" w:hRule="atLeast"/>
        </w:trPr>
        <w:tc>
          <w:tcPr>
            <w:tcW w:w="1025" w:type="dxa"/>
            <w:vMerge w:val="continue"/>
            <w:noWrap w:val="0"/>
            <w:tcMar>
              <w:left w:w="108" w:type="dxa"/>
              <w:right w:w="108" w:type="dxa"/>
            </w:tcMar>
            <w:vAlign w:val="center"/>
          </w:tcPr>
          <w:p w14:paraId="19354350">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vMerge w:val="restart"/>
            <w:noWrap w:val="0"/>
            <w:tcMar>
              <w:left w:w="108" w:type="dxa"/>
              <w:right w:w="108" w:type="dxa"/>
            </w:tcMar>
            <w:vAlign w:val="center"/>
          </w:tcPr>
          <w:p w14:paraId="4805EA61">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获奖情况</w:t>
            </w:r>
          </w:p>
        </w:tc>
        <w:tc>
          <w:tcPr>
            <w:tcW w:w="930" w:type="dxa"/>
            <w:noWrap w:val="0"/>
            <w:tcMar>
              <w:left w:w="108" w:type="dxa"/>
              <w:right w:w="108" w:type="dxa"/>
            </w:tcMar>
            <w:vAlign w:val="center"/>
          </w:tcPr>
          <w:p w14:paraId="0945D78E">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3</w:t>
            </w:r>
          </w:p>
        </w:tc>
        <w:tc>
          <w:tcPr>
            <w:tcW w:w="5168" w:type="dxa"/>
            <w:noWrap w:val="0"/>
            <w:tcMar>
              <w:left w:w="108" w:type="dxa"/>
              <w:right w:w="108" w:type="dxa"/>
            </w:tcMar>
            <w:vAlign w:val="center"/>
          </w:tcPr>
          <w:p w14:paraId="77296C3F">
            <w:pPr>
              <w:keepNext w:val="0"/>
              <w:keepLines w:val="0"/>
              <w:pageBreakBefore w:val="0"/>
              <w:suppressLineNumbers w:val="0"/>
              <w:kinsoku/>
              <w:wordWrap/>
              <w:overflowPunct/>
              <w:topLinePunct w:val="0"/>
              <w:bidi w:val="0"/>
              <w:spacing w:before="0" w:beforeAutospacing="0" w:after="0" w:afterAutospacing="0" w:line="400" w:lineRule="exact"/>
              <w:ind w:left="0" w:right="0"/>
              <w:jc w:val="left"/>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投标人近</w:t>
            </w:r>
            <w:r>
              <w:rPr>
                <w:rFonts w:hint="eastAsia" w:ascii="宋体" w:hAnsi="宋体" w:eastAsia="宋体" w:cs="宋体"/>
                <w:color w:val="auto"/>
                <w:kern w:val="2"/>
                <w:sz w:val="24"/>
                <w:szCs w:val="24"/>
                <w:highlight w:val="none"/>
                <w:lang w:eastAsia="zh-CN"/>
              </w:rPr>
              <w:t>五</w:t>
            </w:r>
            <w:r>
              <w:rPr>
                <w:rFonts w:hint="eastAsia" w:ascii="宋体" w:hAnsi="宋体" w:eastAsia="宋体" w:cs="宋体"/>
                <w:color w:val="auto"/>
                <w:kern w:val="2"/>
                <w:sz w:val="24"/>
                <w:szCs w:val="24"/>
                <w:highlight w:val="none"/>
              </w:rPr>
              <w:t>年（</w:t>
            </w:r>
            <w:r>
              <w:rPr>
                <w:rFonts w:hint="eastAsia" w:ascii="宋体" w:hAnsi="宋体" w:eastAsia="宋体" w:cs="宋体"/>
                <w:color w:val="auto"/>
                <w:kern w:val="2"/>
                <w:sz w:val="24"/>
                <w:szCs w:val="24"/>
                <w:highlight w:val="none"/>
                <w:lang w:val="en-US" w:eastAsia="zh-CN"/>
              </w:rPr>
              <w:t>医疗</w:t>
            </w:r>
            <w:r>
              <w:rPr>
                <w:rFonts w:hint="eastAsia" w:ascii="宋体" w:hAnsi="宋体" w:eastAsia="宋体" w:cs="宋体"/>
                <w:color w:val="auto"/>
                <w:kern w:val="2"/>
                <w:sz w:val="24"/>
                <w:szCs w:val="24"/>
                <w:highlight w:val="none"/>
              </w:rPr>
              <w:t>类</w:t>
            </w:r>
            <w:r>
              <w:rPr>
                <w:rFonts w:hint="eastAsia" w:ascii="宋体" w:hAnsi="宋体" w:eastAsia="宋体" w:cs="宋体"/>
                <w:color w:val="auto"/>
                <w:kern w:val="2"/>
                <w:sz w:val="24"/>
                <w:szCs w:val="24"/>
                <w:highlight w:val="none"/>
                <w:lang w:val="en-US" w:eastAsia="zh-CN"/>
              </w:rPr>
              <w:t>建筑</w:t>
            </w:r>
            <w:r>
              <w:rPr>
                <w:rFonts w:hint="eastAsia" w:ascii="宋体" w:hAnsi="宋体" w:eastAsia="宋体" w:cs="宋体"/>
                <w:color w:val="auto"/>
                <w:kern w:val="2"/>
                <w:sz w:val="24"/>
                <w:szCs w:val="24"/>
                <w:highlight w:val="none"/>
              </w:rPr>
              <w:t>）获得过</w:t>
            </w:r>
            <w:r>
              <w:rPr>
                <w:rFonts w:hint="eastAsia" w:ascii="宋体" w:hAnsi="宋体" w:eastAsia="宋体" w:cs="宋体"/>
                <w:color w:val="auto"/>
                <w:kern w:val="2"/>
                <w:sz w:val="24"/>
                <w:szCs w:val="24"/>
                <w:highlight w:val="none"/>
                <w:lang w:val="en-US" w:eastAsia="zh-CN"/>
              </w:rPr>
              <w:t>1项</w:t>
            </w:r>
            <w:r>
              <w:rPr>
                <w:rFonts w:hint="eastAsia" w:ascii="宋体" w:hAnsi="宋体" w:eastAsia="宋体" w:cs="宋体"/>
                <w:color w:val="auto"/>
                <w:kern w:val="2"/>
                <w:sz w:val="24"/>
                <w:szCs w:val="24"/>
                <w:highlight w:val="none"/>
              </w:rPr>
              <w:t>由省级（或以上）建设行政主管部门或勘察设计协会颁发</w:t>
            </w:r>
            <w:r>
              <w:rPr>
                <w:rFonts w:hint="eastAsia" w:ascii="宋体" w:hAnsi="宋体" w:eastAsia="宋体" w:cs="宋体"/>
                <w:color w:val="auto"/>
                <w:kern w:val="2"/>
                <w:sz w:val="24"/>
                <w:szCs w:val="24"/>
                <w:highlight w:val="none"/>
                <w:lang w:eastAsia="zh-CN"/>
              </w:rPr>
              <w:t>的</w:t>
            </w:r>
            <w:r>
              <w:rPr>
                <w:rFonts w:hint="eastAsia" w:ascii="宋体" w:hAnsi="宋体" w:eastAsia="宋体" w:cs="宋体"/>
                <w:color w:val="auto"/>
                <w:kern w:val="2"/>
                <w:sz w:val="24"/>
                <w:szCs w:val="24"/>
                <w:highlight w:val="none"/>
                <w:lang w:val="en-US" w:eastAsia="zh-CN"/>
              </w:rPr>
              <w:t>建筑设计奖项</w:t>
            </w:r>
            <w:r>
              <w:rPr>
                <w:rFonts w:hint="eastAsia" w:ascii="宋体" w:hAnsi="宋体" w:eastAsia="宋体" w:cs="宋体"/>
                <w:color w:val="auto"/>
                <w:kern w:val="2"/>
                <w:sz w:val="24"/>
                <w:szCs w:val="24"/>
                <w:highlight w:val="none"/>
              </w:rPr>
              <w:t>的得</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分，获得过</w:t>
            </w:r>
            <w:r>
              <w:rPr>
                <w:rFonts w:hint="eastAsia" w:ascii="宋体" w:hAnsi="宋体" w:eastAsia="宋体" w:cs="宋体"/>
                <w:color w:val="auto"/>
                <w:kern w:val="2"/>
                <w:sz w:val="24"/>
                <w:szCs w:val="24"/>
                <w:highlight w:val="none"/>
                <w:lang w:val="en-US" w:eastAsia="zh-CN"/>
              </w:rPr>
              <w:t>2项的</w:t>
            </w:r>
            <w:r>
              <w:rPr>
                <w:rFonts w:hint="eastAsia" w:ascii="宋体" w:hAnsi="宋体" w:eastAsia="宋体" w:cs="宋体"/>
                <w:color w:val="auto"/>
                <w:kern w:val="2"/>
                <w:sz w:val="24"/>
                <w:szCs w:val="24"/>
                <w:highlight w:val="none"/>
              </w:rPr>
              <w:t>得</w:t>
            </w: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获得过</w:t>
            </w:r>
            <w:r>
              <w:rPr>
                <w:rFonts w:hint="eastAsia" w:ascii="宋体" w:hAnsi="宋体" w:eastAsia="宋体" w:cs="宋体"/>
                <w:color w:val="auto"/>
                <w:kern w:val="2"/>
                <w:sz w:val="24"/>
                <w:szCs w:val="24"/>
                <w:highlight w:val="none"/>
                <w:lang w:val="en-US" w:eastAsia="zh-CN"/>
              </w:rPr>
              <w:t>3项及以上的</w:t>
            </w:r>
            <w:r>
              <w:rPr>
                <w:rFonts w:hint="eastAsia" w:ascii="宋体" w:hAnsi="宋体" w:eastAsia="宋体" w:cs="宋体"/>
                <w:color w:val="auto"/>
                <w:kern w:val="2"/>
                <w:sz w:val="24"/>
                <w:szCs w:val="24"/>
                <w:highlight w:val="none"/>
              </w:rPr>
              <w:t>得</w:t>
            </w: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分；</w:t>
            </w:r>
          </w:p>
        </w:tc>
      </w:tr>
      <w:tr w14:paraId="76D39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7" w:hRule="atLeast"/>
        </w:trPr>
        <w:tc>
          <w:tcPr>
            <w:tcW w:w="1025" w:type="dxa"/>
            <w:vMerge w:val="continue"/>
            <w:noWrap w:val="0"/>
            <w:tcMar>
              <w:left w:w="108" w:type="dxa"/>
              <w:right w:w="108" w:type="dxa"/>
            </w:tcMar>
            <w:vAlign w:val="center"/>
          </w:tcPr>
          <w:p w14:paraId="5819993F">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vMerge w:val="continue"/>
            <w:noWrap w:val="0"/>
            <w:tcMar>
              <w:left w:w="108" w:type="dxa"/>
              <w:right w:w="108" w:type="dxa"/>
            </w:tcMar>
            <w:vAlign w:val="center"/>
          </w:tcPr>
          <w:p w14:paraId="0513C1E9">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rPr>
            </w:pPr>
          </w:p>
        </w:tc>
        <w:tc>
          <w:tcPr>
            <w:tcW w:w="930" w:type="dxa"/>
            <w:noWrap w:val="0"/>
            <w:tcMar>
              <w:left w:w="108" w:type="dxa"/>
              <w:right w:w="108" w:type="dxa"/>
            </w:tcMar>
            <w:vAlign w:val="center"/>
          </w:tcPr>
          <w:p w14:paraId="0D339354">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w:t>
            </w:r>
          </w:p>
        </w:tc>
        <w:tc>
          <w:tcPr>
            <w:tcW w:w="5168" w:type="dxa"/>
            <w:noWrap w:val="0"/>
            <w:tcMar>
              <w:left w:w="108" w:type="dxa"/>
              <w:right w:w="108" w:type="dxa"/>
            </w:tcMar>
            <w:vAlign w:val="center"/>
          </w:tcPr>
          <w:p w14:paraId="1732599A">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leftChars="0" w:right="0" w:rightChars="0" w:firstLine="0" w:firstLineChars="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信息化</w:t>
            </w:r>
            <w:r>
              <w:rPr>
                <w:rFonts w:hint="eastAsia" w:ascii="宋体" w:hAnsi="宋体" w:eastAsia="宋体" w:cs="宋体"/>
                <w:color w:val="auto"/>
                <w:kern w:val="2"/>
                <w:sz w:val="24"/>
                <w:szCs w:val="24"/>
                <w:highlight w:val="none"/>
              </w:rPr>
              <w:t>咨询设计成果获得省部级及以上（含直辖市）政府部门颁发的科学技术奖证书得</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分，其余不得分。需提供咨询服务合同和获奖证书复印件。</w:t>
            </w:r>
          </w:p>
        </w:tc>
      </w:tr>
      <w:tr w14:paraId="7C0C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1" w:hRule="atLeast"/>
        </w:trPr>
        <w:tc>
          <w:tcPr>
            <w:tcW w:w="1025" w:type="dxa"/>
            <w:vMerge w:val="continue"/>
            <w:noWrap w:val="0"/>
            <w:tcMar>
              <w:left w:w="108" w:type="dxa"/>
              <w:right w:w="108" w:type="dxa"/>
            </w:tcMar>
            <w:vAlign w:val="center"/>
          </w:tcPr>
          <w:p w14:paraId="36A486F9">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vMerge w:val="continue"/>
            <w:noWrap w:val="0"/>
            <w:tcMar>
              <w:left w:w="108" w:type="dxa"/>
              <w:right w:w="108" w:type="dxa"/>
            </w:tcMar>
            <w:vAlign w:val="center"/>
          </w:tcPr>
          <w:p w14:paraId="57CA49F1">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rPr>
            </w:pPr>
          </w:p>
        </w:tc>
        <w:tc>
          <w:tcPr>
            <w:tcW w:w="930" w:type="dxa"/>
            <w:noWrap w:val="0"/>
            <w:tcMar>
              <w:left w:w="108" w:type="dxa"/>
              <w:right w:w="108" w:type="dxa"/>
            </w:tcMar>
            <w:vAlign w:val="center"/>
          </w:tcPr>
          <w:p w14:paraId="73AB4ED0">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leftChars="0" w:right="0" w:rightChars="0" w:firstLine="0" w:firstLineChars="0"/>
              <w:jc w:val="center"/>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w:t>
            </w:r>
          </w:p>
        </w:tc>
        <w:tc>
          <w:tcPr>
            <w:tcW w:w="5168" w:type="dxa"/>
            <w:noWrap w:val="0"/>
            <w:tcMar>
              <w:left w:w="108" w:type="dxa"/>
              <w:right w:w="108" w:type="dxa"/>
            </w:tcMar>
            <w:vAlign w:val="center"/>
          </w:tcPr>
          <w:p w14:paraId="648697FD">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leftChars="0" w:right="0" w:rightChars="0" w:firstLine="0" w:firstLineChars="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信息化</w:t>
            </w:r>
            <w:r>
              <w:rPr>
                <w:rFonts w:hint="eastAsia" w:ascii="宋体" w:hAnsi="宋体" w:eastAsia="宋体" w:cs="宋体"/>
                <w:color w:val="auto"/>
                <w:kern w:val="2"/>
                <w:sz w:val="24"/>
                <w:szCs w:val="24"/>
                <w:highlight w:val="none"/>
              </w:rPr>
              <w:t>咨询设计成果获得省级工程咨询成果奖,每个得0.5分，满分2分。提供有效的获奖证书复印件。</w:t>
            </w:r>
          </w:p>
        </w:tc>
      </w:tr>
      <w:tr w14:paraId="481B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9" w:hRule="atLeast"/>
        </w:trPr>
        <w:tc>
          <w:tcPr>
            <w:tcW w:w="1025" w:type="dxa"/>
            <w:vMerge w:val="restart"/>
            <w:noWrap w:val="0"/>
            <w:tcMar>
              <w:left w:w="108" w:type="dxa"/>
              <w:right w:w="108" w:type="dxa"/>
            </w:tcMar>
            <w:vAlign w:val="center"/>
          </w:tcPr>
          <w:p w14:paraId="5513A27B">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p>
          <w:p w14:paraId="4D635E6D">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项目组</w:t>
            </w:r>
          </w:p>
          <w:p w14:paraId="0B76C897">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分）</w:t>
            </w:r>
          </w:p>
        </w:tc>
        <w:tc>
          <w:tcPr>
            <w:tcW w:w="1210" w:type="dxa"/>
            <w:noWrap w:val="0"/>
            <w:tcMar>
              <w:left w:w="108" w:type="dxa"/>
              <w:right w:w="108" w:type="dxa"/>
            </w:tcMar>
            <w:vAlign w:val="center"/>
          </w:tcPr>
          <w:p w14:paraId="73BD5828">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项目负责人</w:t>
            </w:r>
          </w:p>
        </w:tc>
        <w:tc>
          <w:tcPr>
            <w:tcW w:w="930" w:type="dxa"/>
            <w:noWrap w:val="0"/>
            <w:tcMar>
              <w:left w:w="108" w:type="dxa"/>
              <w:right w:w="108" w:type="dxa"/>
            </w:tcMar>
            <w:vAlign w:val="center"/>
          </w:tcPr>
          <w:p w14:paraId="0E9DB7EA">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2</w:t>
            </w:r>
          </w:p>
        </w:tc>
        <w:tc>
          <w:tcPr>
            <w:tcW w:w="5168" w:type="dxa"/>
            <w:noWrap w:val="0"/>
            <w:tcMar>
              <w:left w:w="108" w:type="dxa"/>
              <w:right w:w="108" w:type="dxa"/>
            </w:tcMar>
            <w:vAlign w:val="center"/>
          </w:tcPr>
          <w:p w14:paraId="104D6370">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rPr>
              <w:t>在第二章</w:t>
            </w:r>
            <w:r>
              <w:rPr>
                <w:rFonts w:hint="eastAsia" w:ascii="宋体" w:hAnsi="宋体" w:eastAsia="宋体" w:cs="宋体"/>
                <w:color w:val="auto"/>
                <w:highlight w:val="none"/>
              </w:rPr>
              <w:t>合格投标人资格条件</w:t>
            </w:r>
            <w:r>
              <w:rPr>
                <w:rFonts w:hint="eastAsia" w:ascii="宋体" w:hAnsi="宋体" w:eastAsia="宋体" w:cs="宋体"/>
                <w:color w:val="auto"/>
                <w:kern w:val="2"/>
                <w:sz w:val="24"/>
                <w:szCs w:val="24"/>
                <w:highlight w:val="none"/>
                <w:lang w:val="en-US" w:eastAsia="zh-CN"/>
              </w:rPr>
              <w:t>中第3.1项第（3）条的基础上</w:t>
            </w:r>
            <w:r>
              <w:rPr>
                <w:rFonts w:hint="eastAsia" w:ascii="宋体" w:hAnsi="宋体" w:eastAsia="宋体" w:cs="宋体"/>
                <w:color w:val="auto"/>
                <w:kern w:val="2"/>
                <w:sz w:val="24"/>
                <w:szCs w:val="24"/>
                <w:highlight w:val="none"/>
              </w:rPr>
              <w:t>投标人拟派出担任设计项目负责人近五年每</w:t>
            </w:r>
            <w:r>
              <w:rPr>
                <w:rFonts w:hint="eastAsia" w:ascii="宋体" w:hAnsi="宋体" w:eastAsia="宋体" w:cs="宋体"/>
                <w:color w:val="auto"/>
                <w:kern w:val="2"/>
                <w:sz w:val="24"/>
                <w:szCs w:val="24"/>
                <w:highlight w:val="none"/>
                <w:lang w:val="en-US" w:eastAsia="zh-CN"/>
              </w:rPr>
              <w:t>增加</w:t>
            </w:r>
            <w:r>
              <w:rPr>
                <w:rFonts w:hint="eastAsia" w:ascii="宋体" w:hAnsi="宋体" w:eastAsia="宋体" w:cs="宋体"/>
                <w:color w:val="auto"/>
                <w:kern w:val="2"/>
                <w:sz w:val="24"/>
                <w:szCs w:val="24"/>
                <w:highlight w:val="none"/>
              </w:rPr>
              <w:t>一项类似工程项目业绩的得1分，最多得</w:t>
            </w: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w:t>
            </w:r>
          </w:p>
        </w:tc>
      </w:tr>
      <w:tr w14:paraId="7696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3" w:hRule="atLeast"/>
        </w:trPr>
        <w:tc>
          <w:tcPr>
            <w:tcW w:w="1025" w:type="dxa"/>
            <w:vMerge w:val="continue"/>
            <w:noWrap w:val="0"/>
            <w:tcMar>
              <w:left w:w="108" w:type="dxa"/>
              <w:right w:w="108" w:type="dxa"/>
            </w:tcMar>
            <w:vAlign w:val="center"/>
          </w:tcPr>
          <w:p w14:paraId="7214E93F">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noWrap w:val="0"/>
            <w:tcMar>
              <w:left w:w="108" w:type="dxa"/>
              <w:right w:w="108" w:type="dxa"/>
            </w:tcMar>
            <w:vAlign w:val="center"/>
          </w:tcPr>
          <w:p w14:paraId="4693B650">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其他主要设计人员</w:t>
            </w:r>
          </w:p>
        </w:tc>
        <w:tc>
          <w:tcPr>
            <w:tcW w:w="930" w:type="dxa"/>
            <w:noWrap w:val="0"/>
            <w:tcMar>
              <w:left w:w="108" w:type="dxa"/>
              <w:right w:w="108" w:type="dxa"/>
            </w:tcMar>
            <w:vAlign w:val="center"/>
          </w:tcPr>
          <w:p w14:paraId="7EAD39D4">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2</w:t>
            </w:r>
          </w:p>
        </w:tc>
        <w:tc>
          <w:tcPr>
            <w:tcW w:w="5168" w:type="dxa"/>
            <w:noWrap w:val="0"/>
            <w:tcMar>
              <w:left w:w="108" w:type="dxa"/>
              <w:right w:w="108" w:type="dxa"/>
            </w:tcMar>
            <w:vAlign w:val="center"/>
          </w:tcPr>
          <w:p w14:paraId="1FF7597C">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1.配备的结构专业负责人具备国家一级注册结构师或高级工程师</w:t>
            </w:r>
            <w:r>
              <w:rPr>
                <w:rFonts w:hint="eastAsia" w:ascii="宋体" w:hAnsi="宋体" w:eastAsia="宋体" w:cs="宋体"/>
                <w:color w:val="auto"/>
                <w:kern w:val="2"/>
                <w:sz w:val="24"/>
                <w:szCs w:val="24"/>
                <w:highlight w:val="none"/>
                <w:lang w:eastAsia="zh-CN"/>
              </w:rPr>
              <w:t>及以上</w:t>
            </w:r>
            <w:r>
              <w:rPr>
                <w:rFonts w:hint="eastAsia" w:ascii="宋体" w:hAnsi="宋体" w:eastAsia="宋体" w:cs="宋体"/>
                <w:color w:val="auto"/>
                <w:kern w:val="2"/>
                <w:sz w:val="24"/>
                <w:szCs w:val="24"/>
                <w:highlight w:val="none"/>
              </w:rPr>
              <w:t>职称的得</w:t>
            </w:r>
            <w:r>
              <w:rPr>
                <w:rFonts w:hint="eastAsia" w:ascii="宋体" w:hAnsi="宋体" w:eastAsia="宋体" w:cs="宋体"/>
                <w:color w:val="auto"/>
                <w:kern w:val="2"/>
                <w:sz w:val="24"/>
                <w:szCs w:val="24"/>
                <w:highlight w:val="none"/>
                <w:lang w:val="en-US" w:eastAsia="zh-CN"/>
              </w:rPr>
              <w:t>0.5</w:t>
            </w:r>
            <w:r>
              <w:rPr>
                <w:rFonts w:hint="eastAsia" w:ascii="宋体" w:hAnsi="宋体" w:eastAsia="宋体" w:cs="宋体"/>
                <w:color w:val="auto"/>
                <w:kern w:val="2"/>
                <w:sz w:val="24"/>
                <w:szCs w:val="24"/>
                <w:highlight w:val="none"/>
              </w:rPr>
              <w:t>分</w:t>
            </w:r>
            <w:r>
              <w:rPr>
                <w:rFonts w:hint="eastAsia" w:ascii="宋体" w:hAnsi="宋体" w:eastAsia="宋体" w:cs="宋体"/>
                <w:color w:val="auto"/>
                <w:kern w:val="2"/>
                <w:sz w:val="24"/>
                <w:szCs w:val="24"/>
                <w:highlight w:val="none"/>
                <w:lang w:eastAsia="zh-CN"/>
              </w:rPr>
              <w:t>；</w:t>
            </w:r>
          </w:p>
          <w:p w14:paraId="3E5A48A6">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.配备的暖通专业负责人具备</w:t>
            </w:r>
            <w:r>
              <w:rPr>
                <w:rFonts w:hint="eastAsia" w:ascii="宋体" w:hAnsi="宋体" w:eastAsia="宋体" w:cs="宋体"/>
                <w:color w:val="auto"/>
                <w:kern w:val="2"/>
                <w:sz w:val="24"/>
                <w:szCs w:val="24"/>
                <w:highlight w:val="none"/>
                <w:lang w:eastAsia="zh-CN"/>
              </w:rPr>
              <w:t>高级工程师及以上</w:t>
            </w:r>
            <w:r>
              <w:rPr>
                <w:rFonts w:hint="eastAsia" w:ascii="宋体" w:hAnsi="宋体" w:eastAsia="宋体" w:cs="宋体"/>
                <w:color w:val="auto"/>
                <w:kern w:val="2"/>
                <w:sz w:val="24"/>
                <w:szCs w:val="24"/>
                <w:highlight w:val="none"/>
              </w:rPr>
              <w:t>职称的得</w:t>
            </w:r>
            <w:r>
              <w:rPr>
                <w:rFonts w:hint="eastAsia" w:ascii="宋体" w:hAnsi="宋体" w:eastAsia="宋体" w:cs="宋体"/>
                <w:color w:val="auto"/>
                <w:kern w:val="2"/>
                <w:sz w:val="24"/>
                <w:szCs w:val="24"/>
                <w:highlight w:val="none"/>
                <w:lang w:val="en-US" w:eastAsia="zh-CN"/>
              </w:rPr>
              <w:t>0.5</w:t>
            </w:r>
            <w:r>
              <w:rPr>
                <w:rFonts w:hint="eastAsia" w:ascii="宋体" w:hAnsi="宋体" w:eastAsia="宋体" w:cs="宋体"/>
                <w:color w:val="auto"/>
                <w:kern w:val="2"/>
                <w:sz w:val="24"/>
                <w:szCs w:val="24"/>
                <w:highlight w:val="none"/>
              </w:rPr>
              <w:t>分</w:t>
            </w:r>
            <w:r>
              <w:rPr>
                <w:rFonts w:hint="eastAsia" w:ascii="宋体" w:hAnsi="宋体" w:eastAsia="宋体" w:cs="宋体"/>
                <w:color w:val="auto"/>
                <w:kern w:val="2"/>
                <w:sz w:val="24"/>
                <w:szCs w:val="24"/>
                <w:highlight w:val="none"/>
                <w:lang w:eastAsia="zh-CN"/>
              </w:rPr>
              <w:t>；</w:t>
            </w:r>
          </w:p>
          <w:p w14:paraId="6437FCE0">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lang w:val="en-US"/>
              </w:rPr>
              <w:t>.</w:t>
            </w:r>
            <w:r>
              <w:rPr>
                <w:rFonts w:hint="eastAsia" w:ascii="宋体" w:hAnsi="宋体" w:eastAsia="宋体" w:cs="宋体"/>
                <w:color w:val="auto"/>
                <w:kern w:val="2"/>
                <w:sz w:val="24"/>
                <w:szCs w:val="24"/>
                <w:highlight w:val="none"/>
              </w:rPr>
              <w:t>配备的建筑专业负责人同时</w:t>
            </w:r>
            <w:r>
              <w:rPr>
                <w:rFonts w:hint="eastAsia" w:ascii="宋体" w:hAnsi="宋体" w:eastAsia="宋体" w:cs="宋体"/>
                <w:color w:val="auto"/>
                <w:kern w:val="2"/>
                <w:sz w:val="24"/>
                <w:szCs w:val="24"/>
                <w:highlight w:val="none"/>
                <w:lang w:eastAsia="zh-CN"/>
              </w:rPr>
              <w:t>高级工程师及以上</w:t>
            </w:r>
            <w:r>
              <w:rPr>
                <w:rFonts w:hint="eastAsia" w:ascii="宋体" w:hAnsi="宋体" w:eastAsia="宋体" w:cs="宋体"/>
                <w:color w:val="auto"/>
                <w:kern w:val="2"/>
                <w:sz w:val="24"/>
                <w:szCs w:val="24"/>
                <w:highlight w:val="none"/>
              </w:rPr>
              <w:t>职称的，得</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w:t>
            </w:r>
          </w:p>
        </w:tc>
      </w:tr>
      <w:tr w14:paraId="1A399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3" w:hRule="atLeast"/>
        </w:trPr>
        <w:tc>
          <w:tcPr>
            <w:tcW w:w="1025" w:type="dxa"/>
            <w:vMerge w:val="continue"/>
            <w:noWrap w:val="0"/>
            <w:tcMar>
              <w:left w:w="108" w:type="dxa"/>
              <w:right w:w="108" w:type="dxa"/>
            </w:tcMar>
            <w:vAlign w:val="center"/>
          </w:tcPr>
          <w:p w14:paraId="73B69F56">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noWrap w:val="0"/>
            <w:tcMar>
              <w:left w:w="108" w:type="dxa"/>
              <w:right w:w="108" w:type="dxa"/>
            </w:tcMar>
            <w:vAlign w:val="center"/>
          </w:tcPr>
          <w:p w14:paraId="36CE426F">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firstLine="0" w:firstLineChars="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信息化</w:t>
            </w:r>
            <w:r>
              <w:rPr>
                <w:rFonts w:hint="eastAsia" w:ascii="宋体" w:hAnsi="宋体" w:eastAsia="宋体" w:cs="宋体"/>
                <w:color w:val="auto"/>
                <w:kern w:val="2"/>
                <w:sz w:val="24"/>
                <w:szCs w:val="24"/>
                <w:highlight w:val="none"/>
              </w:rPr>
              <w:t>咨询总监</w:t>
            </w:r>
          </w:p>
        </w:tc>
        <w:tc>
          <w:tcPr>
            <w:tcW w:w="930" w:type="dxa"/>
            <w:noWrap w:val="0"/>
            <w:tcMar>
              <w:left w:w="108" w:type="dxa"/>
              <w:right w:w="108" w:type="dxa"/>
            </w:tcMar>
            <w:vAlign w:val="center"/>
          </w:tcPr>
          <w:p w14:paraId="295DBD6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sz w:val="21"/>
                <w:szCs w:val="21"/>
                <w:highlight w:val="none"/>
              </w:rPr>
              <w:t>3</w:t>
            </w:r>
          </w:p>
        </w:tc>
        <w:tc>
          <w:tcPr>
            <w:tcW w:w="5168" w:type="dxa"/>
            <w:noWrap w:val="0"/>
            <w:tcMar>
              <w:left w:w="108" w:type="dxa"/>
              <w:right w:w="108" w:type="dxa"/>
            </w:tcMar>
            <w:vAlign w:val="center"/>
          </w:tcPr>
          <w:p w14:paraId="3ED0DB3D">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咨询总监（具有发改委颁发或监制的注册咨询工程师资格证书且工作年限不低于10年（以本科毕业证为准），方可计算以下得分，否则直接得0分）：</w:t>
            </w:r>
          </w:p>
          <w:p w14:paraId="627AF0E3">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具有系统规划与管理师证书，具有软件性能测试高级工程师证书，具有注册数据安全治理专业人员证书，具有信息安全保障人员认证（安全软件方向）证书、具有信息技术审计师证书、具有软件工程造价师证书的得</w:t>
            </w: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分，每缺少一项扣0.5分，扣完为止。</w:t>
            </w:r>
          </w:p>
          <w:p w14:paraId="60600AEE">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须提供有效证书复印件及由投标人为其缴纳的至投标截止时间（不含投标截止当月）前6个月内任意一个月社保证明材料，否则不得分。</w:t>
            </w:r>
          </w:p>
        </w:tc>
      </w:tr>
      <w:tr w14:paraId="4A30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3" w:hRule="atLeast"/>
        </w:trPr>
        <w:tc>
          <w:tcPr>
            <w:tcW w:w="1025" w:type="dxa"/>
            <w:vMerge w:val="continue"/>
            <w:noWrap w:val="0"/>
            <w:tcMar>
              <w:left w:w="108" w:type="dxa"/>
              <w:right w:w="108" w:type="dxa"/>
            </w:tcMar>
            <w:vAlign w:val="center"/>
          </w:tcPr>
          <w:p w14:paraId="5411C377">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noWrap w:val="0"/>
            <w:tcMar>
              <w:left w:w="108" w:type="dxa"/>
              <w:right w:w="108" w:type="dxa"/>
            </w:tcMar>
            <w:vAlign w:val="center"/>
          </w:tcPr>
          <w:p w14:paraId="73F46BAB">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firstLine="0" w:firstLineChars="0"/>
              <w:jc w:val="center"/>
              <w:textAlignment w:val="auto"/>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信息化项目负责人</w:t>
            </w:r>
          </w:p>
        </w:tc>
        <w:tc>
          <w:tcPr>
            <w:tcW w:w="930" w:type="dxa"/>
            <w:noWrap w:val="0"/>
            <w:tcMar>
              <w:left w:w="108" w:type="dxa"/>
              <w:right w:w="108" w:type="dxa"/>
            </w:tcMar>
            <w:vAlign w:val="center"/>
          </w:tcPr>
          <w:p w14:paraId="6DBF21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sz w:val="21"/>
                <w:szCs w:val="21"/>
                <w:highlight w:val="none"/>
              </w:rPr>
              <w:t>3</w:t>
            </w:r>
          </w:p>
        </w:tc>
        <w:tc>
          <w:tcPr>
            <w:tcW w:w="5168" w:type="dxa"/>
            <w:noWrap w:val="0"/>
            <w:tcMar>
              <w:left w:w="108" w:type="dxa"/>
              <w:right w:w="108" w:type="dxa"/>
            </w:tcMar>
            <w:vAlign w:val="center"/>
          </w:tcPr>
          <w:p w14:paraId="350CD0E3">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信息化</w:t>
            </w:r>
            <w:r>
              <w:rPr>
                <w:rFonts w:hint="eastAsia" w:ascii="宋体" w:hAnsi="宋体" w:eastAsia="宋体" w:cs="宋体"/>
                <w:color w:val="auto"/>
                <w:kern w:val="2"/>
                <w:sz w:val="24"/>
                <w:szCs w:val="24"/>
                <w:highlight w:val="none"/>
              </w:rPr>
              <w:t>项目</w:t>
            </w:r>
            <w:r>
              <w:rPr>
                <w:rFonts w:hint="eastAsia" w:ascii="宋体" w:hAnsi="宋体" w:eastAsia="宋体" w:cs="宋体"/>
                <w:color w:val="auto"/>
                <w:kern w:val="2"/>
                <w:sz w:val="24"/>
                <w:szCs w:val="24"/>
                <w:highlight w:val="none"/>
                <w:lang w:val="en-US" w:eastAsia="zh-CN"/>
              </w:rPr>
              <w:t>负责人</w:t>
            </w:r>
            <w:r>
              <w:rPr>
                <w:rFonts w:hint="eastAsia" w:ascii="宋体" w:hAnsi="宋体" w:eastAsia="宋体" w:cs="宋体"/>
                <w:color w:val="auto"/>
                <w:kern w:val="2"/>
                <w:sz w:val="24"/>
                <w:szCs w:val="24"/>
                <w:highlight w:val="none"/>
              </w:rPr>
              <w:t>（具有发改委颁发或监制的注册咨询工程师资格证书且工作年限不低于10年（以本科毕业证为准），方可计算以下得分，否则直接得0分）：</w:t>
            </w:r>
          </w:p>
          <w:p w14:paraId="288E6718">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具有大数据专业高级或以上职称证书、具有一级建造师（通信与广电工程专业）证书、具有互联网技术资格证书、具有信息系统项目管理师证书、具有注册信息安全工程师证书、具有网络工程师证书的得3分，每缺少一项扣0.5分，扣完为止。</w:t>
            </w:r>
          </w:p>
          <w:p w14:paraId="52F91539">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须提供有效证书复印件及由投标人为其缴纳的至投标截止时间（不含投标截止当月）前6个月内任意一个月社保证明材料，否则不得分。</w:t>
            </w:r>
          </w:p>
        </w:tc>
      </w:tr>
      <w:tr w14:paraId="10F78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93" w:hRule="atLeast"/>
        </w:trPr>
        <w:tc>
          <w:tcPr>
            <w:tcW w:w="1025" w:type="dxa"/>
            <w:vMerge w:val="continue"/>
            <w:noWrap w:val="0"/>
            <w:tcMar>
              <w:left w:w="108" w:type="dxa"/>
              <w:right w:w="108" w:type="dxa"/>
            </w:tcMar>
            <w:vAlign w:val="center"/>
          </w:tcPr>
          <w:p w14:paraId="40BEA043">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noWrap w:val="0"/>
            <w:tcMar>
              <w:left w:w="108" w:type="dxa"/>
              <w:right w:w="108" w:type="dxa"/>
            </w:tcMar>
            <w:vAlign w:val="center"/>
          </w:tcPr>
          <w:p w14:paraId="0F25917C">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firstLine="0" w:firstLineChars="0"/>
              <w:jc w:val="center"/>
              <w:textAlignment w:val="auto"/>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信息化项目组团队</w:t>
            </w:r>
          </w:p>
        </w:tc>
        <w:tc>
          <w:tcPr>
            <w:tcW w:w="930" w:type="dxa"/>
            <w:noWrap w:val="0"/>
            <w:tcMar>
              <w:left w:w="108" w:type="dxa"/>
              <w:right w:w="108" w:type="dxa"/>
            </w:tcMar>
            <w:vAlign w:val="center"/>
          </w:tcPr>
          <w:p w14:paraId="4B9B951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sz w:val="21"/>
                <w:szCs w:val="21"/>
                <w:highlight w:val="none"/>
                <w:lang w:val="en-US" w:eastAsia="zh-CN"/>
              </w:rPr>
              <w:t>1</w:t>
            </w:r>
          </w:p>
        </w:tc>
        <w:tc>
          <w:tcPr>
            <w:tcW w:w="5168" w:type="dxa"/>
            <w:noWrap w:val="0"/>
            <w:tcMar>
              <w:left w:w="108" w:type="dxa"/>
              <w:right w:w="108" w:type="dxa"/>
            </w:tcMar>
            <w:vAlign w:val="center"/>
          </w:tcPr>
          <w:p w14:paraId="212FAE77">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项目组团队成员工作年限不低于7年（以本科毕业证为准）：</w:t>
            </w:r>
          </w:p>
          <w:p w14:paraId="0D591C81">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1、同时具有软件性能测试高级工程师证书和注册信息安全工程师（CISE）证书得</w:t>
            </w:r>
            <w:r>
              <w:rPr>
                <w:rFonts w:hint="eastAsia" w:ascii="宋体" w:hAnsi="宋体" w:eastAsia="宋体" w:cs="宋体"/>
                <w:color w:val="auto"/>
                <w:kern w:val="2"/>
                <w:sz w:val="24"/>
                <w:szCs w:val="24"/>
                <w:highlight w:val="none"/>
                <w:lang w:val="en-US" w:eastAsia="zh-CN"/>
              </w:rPr>
              <w:t>0.5</w:t>
            </w:r>
            <w:r>
              <w:rPr>
                <w:rFonts w:hint="eastAsia" w:ascii="宋体" w:hAnsi="宋体" w:eastAsia="宋体" w:cs="宋体"/>
                <w:color w:val="auto"/>
                <w:kern w:val="2"/>
                <w:sz w:val="24"/>
                <w:szCs w:val="24"/>
                <w:highlight w:val="none"/>
              </w:rPr>
              <w:t>分，本项最高得</w:t>
            </w:r>
            <w:r>
              <w:rPr>
                <w:rFonts w:hint="eastAsia" w:ascii="宋体" w:hAnsi="宋体" w:eastAsia="宋体" w:cs="宋体"/>
                <w:color w:val="auto"/>
                <w:kern w:val="2"/>
                <w:sz w:val="24"/>
                <w:szCs w:val="24"/>
                <w:highlight w:val="none"/>
                <w:lang w:val="en-US" w:eastAsia="zh-CN"/>
              </w:rPr>
              <w:t>0.5</w:t>
            </w:r>
            <w:r>
              <w:rPr>
                <w:rFonts w:hint="eastAsia" w:ascii="宋体" w:hAnsi="宋体" w:eastAsia="宋体" w:cs="宋体"/>
                <w:color w:val="auto"/>
                <w:kern w:val="2"/>
                <w:sz w:val="24"/>
                <w:szCs w:val="24"/>
                <w:highlight w:val="none"/>
              </w:rPr>
              <w:t>分；</w:t>
            </w:r>
          </w:p>
          <w:p w14:paraId="379A3832">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2、同时具有信息安全保障人员认证（安全软件方向）证书和注册信息安全管理人员（CISO）证书得</w:t>
            </w:r>
            <w:r>
              <w:rPr>
                <w:rFonts w:hint="eastAsia" w:ascii="宋体" w:hAnsi="宋体" w:eastAsia="宋体" w:cs="宋体"/>
                <w:color w:val="auto"/>
                <w:kern w:val="2"/>
                <w:sz w:val="24"/>
                <w:szCs w:val="24"/>
                <w:highlight w:val="none"/>
                <w:lang w:val="en-US" w:eastAsia="zh-CN"/>
              </w:rPr>
              <w:t>0.5</w:t>
            </w:r>
            <w:r>
              <w:rPr>
                <w:rFonts w:hint="eastAsia" w:ascii="宋体" w:hAnsi="宋体" w:eastAsia="宋体" w:cs="宋体"/>
                <w:color w:val="auto"/>
                <w:kern w:val="2"/>
                <w:sz w:val="24"/>
                <w:szCs w:val="24"/>
                <w:highlight w:val="none"/>
              </w:rPr>
              <w:t>分，本项最高得</w:t>
            </w:r>
            <w:r>
              <w:rPr>
                <w:rFonts w:hint="eastAsia" w:ascii="宋体" w:hAnsi="宋体" w:eastAsia="宋体" w:cs="宋体"/>
                <w:color w:val="auto"/>
                <w:kern w:val="2"/>
                <w:sz w:val="24"/>
                <w:szCs w:val="24"/>
                <w:highlight w:val="none"/>
                <w:lang w:val="en-US" w:eastAsia="zh-CN"/>
              </w:rPr>
              <w:t>0.5</w:t>
            </w:r>
            <w:r>
              <w:rPr>
                <w:rFonts w:hint="eastAsia" w:ascii="宋体" w:hAnsi="宋体" w:eastAsia="宋体" w:cs="宋体"/>
                <w:color w:val="auto"/>
                <w:kern w:val="2"/>
                <w:sz w:val="24"/>
                <w:szCs w:val="24"/>
                <w:highlight w:val="none"/>
              </w:rPr>
              <w:t>分；</w:t>
            </w:r>
          </w:p>
          <w:p w14:paraId="3B74E2D3">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须提供有效证书复印件及由投标人为其缴纳的至投标截止时间（不含投标截止当月）前6个月内任意一个月社保证明材料，否则不得分。</w:t>
            </w:r>
          </w:p>
        </w:tc>
      </w:tr>
      <w:tr w14:paraId="0774F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1025" w:type="dxa"/>
            <w:vMerge w:val="restart"/>
            <w:noWrap w:val="0"/>
            <w:tcMar>
              <w:left w:w="108" w:type="dxa"/>
              <w:right w:w="108" w:type="dxa"/>
            </w:tcMar>
            <w:vAlign w:val="center"/>
          </w:tcPr>
          <w:p w14:paraId="6F4981C5">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服务</w:t>
            </w:r>
          </w:p>
          <w:p w14:paraId="50472095">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保证</w:t>
            </w:r>
          </w:p>
          <w:p w14:paraId="24059103">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分）</w:t>
            </w:r>
          </w:p>
        </w:tc>
        <w:tc>
          <w:tcPr>
            <w:tcW w:w="1210" w:type="dxa"/>
            <w:noWrap w:val="0"/>
            <w:tcMar>
              <w:left w:w="108" w:type="dxa"/>
              <w:right w:w="108" w:type="dxa"/>
            </w:tcMar>
            <w:vAlign w:val="center"/>
          </w:tcPr>
          <w:p w14:paraId="65C0530B">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保证设计质量、进度</w:t>
            </w:r>
          </w:p>
        </w:tc>
        <w:tc>
          <w:tcPr>
            <w:tcW w:w="930" w:type="dxa"/>
            <w:noWrap w:val="0"/>
            <w:tcMar>
              <w:left w:w="108" w:type="dxa"/>
              <w:right w:w="108" w:type="dxa"/>
            </w:tcMar>
            <w:vAlign w:val="center"/>
          </w:tcPr>
          <w:p w14:paraId="5D26B9EA">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1</w:t>
            </w:r>
          </w:p>
        </w:tc>
        <w:tc>
          <w:tcPr>
            <w:tcW w:w="5168" w:type="dxa"/>
            <w:noWrap w:val="0"/>
            <w:tcMar>
              <w:left w:w="108" w:type="dxa"/>
              <w:right w:w="108" w:type="dxa"/>
            </w:tcMar>
            <w:vAlign w:val="center"/>
          </w:tcPr>
          <w:p w14:paraId="15D95996">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根据投标人所提出的保证设计质量、设计进度计划的措施的科学性、可行性及满足招标文件要求的程度分别进行评分。</w:t>
            </w:r>
            <w:r>
              <w:rPr>
                <w:rFonts w:hint="eastAsia" w:ascii="宋体" w:hAnsi="宋体" w:eastAsia="宋体" w:cs="宋体"/>
                <w:color w:val="auto"/>
                <w:highlight w:val="none"/>
              </w:rPr>
              <w:t>内容与要点相符、且针对性措施完整详细、具有操作性的得</w:t>
            </w:r>
            <w:r>
              <w:rPr>
                <w:rFonts w:hint="eastAsia" w:ascii="宋体" w:hAnsi="宋体" w:eastAsia="宋体" w:cs="宋体"/>
                <w:color w:val="auto"/>
                <w:highlight w:val="none"/>
                <w:lang w:eastAsia="zh-CN"/>
              </w:rPr>
              <w:t>1</w:t>
            </w:r>
            <w:r>
              <w:rPr>
                <w:rFonts w:hint="eastAsia" w:ascii="宋体" w:hAnsi="宋体" w:eastAsia="宋体" w:cs="宋体"/>
                <w:color w:val="auto"/>
                <w:highlight w:val="none"/>
              </w:rPr>
              <w:t>分；方案仅笼统描述，具体措施不够完整详细的得</w:t>
            </w:r>
            <w:r>
              <w:rPr>
                <w:rFonts w:hint="eastAsia" w:ascii="宋体" w:hAnsi="宋体" w:eastAsia="宋体" w:cs="宋体"/>
                <w:color w:val="auto"/>
                <w:highlight w:val="none"/>
                <w:lang w:eastAsia="zh-CN"/>
              </w:rPr>
              <w:t>0</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分。未提供或提供的内容存在明显不足或与本项目情况不符的计划方案的均不得分。</w:t>
            </w:r>
          </w:p>
        </w:tc>
      </w:tr>
      <w:tr w14:paraId="69D8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trPr>
        <w:tc>
          <w:tcPr>
            <w:tcW w:w="1025" w:type="dxa"/>
            <w:vMerge w:val="continue"/>
            <w:noWrap w:val="0"/>
            <w:tcMar>
              <w:left w:w="108" w:type="dxa"/>
              <w:right w:w="108" w:type="dxa"/>
            </w:tcMar>
            <w:vAlign w:val="center"/>
          </w:tcPr>
          <w:p w14:paraId="661B9F06">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noWrap w:val="0"/>
            <w:tcMar>
              <w:left w:w="108" w:type="dxa"/>
              <w:right w:w="108" w:type="dxa"/>
            </w:tcMar>
            <w:vAlign w:val="center"/>
          </w:tcPr>
          <w:p w14:paraId="7A8ECE75">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服务方案</w:t>
            </w:r>
          </w:p>
        </w:tc>
        <w:tc>
          <w:tcPr>
            <w:tcW w:w="930" w:type="dxa"/>
            <w:noWrap w:val="0"/>
            <w:tcMar>
              <w:left w:w="108" w:type="dxa"/>
              <w:right w:w="108" w:type="dxa"/>
            </w:tcMar>
            <w:vAlign w:val="center"/>
          </w:tcPr>
          <w:p w14:paraId="4AA6EE28">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1</w:t>
            </w:r>
          </w:p>
        </w:tc>
        <w:tc>
          <w:tcPr>
            <w:tcW w:w="5168" w:type="dxa"/>
            <w:noWrap w:val="0"/>
            <w:tcMar>
              <w:left w:w="108" w:type="dxa"/>
              <w:right w:w="108" w:type="dxa"/>
            </w:tcMar>
            <w:vAlign w:val="center"/>
          </w:tcPr>
          <w:p w14:paraId="09F47FE1">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根据投标人提出的设计人在工程施工过程中配合工程实施所派出驻工地设计工程师的人员（职称、专业、数量）、服务内容、响应时间等分别进行评分。</w:t>
            </w:r>
            <w:r>
              <w:rPr>
                <w:rFonts w:hint="eastAsia" w:ascii="宋体" w:hAnsi="宋体" w:eastAsia="宋体" w:cs="宋体"/>
                <w:color w:val="auto"/>
                <w:highlight w:val="none"/>
              </w:rPr>
              <w:t>内容与要点相符、且针对性措施完整详细、具有操作性的得</w:t>
            </w:r>
            <w:r>
              <w:rPr>
                <w:rFonts w:hint="eastAsia" w:ascii="宋体" w:hAnsi="宋体" w:eastAsia="宋体" w:cs="宋体"/>
                <w:color w:val="auto"/>
                <w:highlight w:val="none"/>
                <w:lang w:eastAsia="zh-CN"/>
              </w:rPr>
              <w:t>1</w:t>
            </w:r>
            <w:r>
              <w:rPr>
                <w:rFonts w:hint="eastAsia" w:ascii="宋体" w:hAnsi="宋体" w:eastAsia="宋体" w:cs="宋体"/>
                <w:color w:val="auto"/>
                <w:highlight w:val="none"/>
              </w:rPr>
              <w:t>分；方案仅笼统描述，具体措施不够完整详细的得</w:t>
            </w:r>
            <w:r>
              <w:rPr>
                <w:rFonts w:hint="eastAsia" w:ascii="宋体" w:hAnsi="宋体" w:eastAsia="宋体" w:cs="宋体"/>
                <w:color w:val="auto"/>
                <w:highlight w:val="none"/>
                <w:lang w:eastAsia="zh-CN"/>
              </w:rPr>
              <w:t>0</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分。未提供或提供的内容存在明显不足或与本项目情况不符的计划方案的均不得分。</w:t>
            </w:r>
          </w:p>
        </w:tc>
      </w:tr>
      <w:tr w14:paraId="0C590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trPr>
        <w:tc>
          <w:tcPr>
            <w:tcW w:w="1025" w:type="dxa"/>
            <w:vMerge w:val="continue"/>
            <w:noWrap w:val="0"/>
            <w:tcMar>
              <w:left w:w="108" w:type="dxa"/>
              <w:right w:w="108" w:type="dxa"/>
            </w:tcMar>
            <w:vAlign w:val="center"/>
          </w:tcPr>
          <w:p w14:paraId="50A07BF2">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p>
        </w:tc>
        <w:tc>
          <w:tcPr>
            <w:tcW w:w="1210" w:type="dxa"/>
            <w:noWrap w:val="0"/>
            <w:tcMar>
              <w:left w:w="108" w:type="dxa"/>
              <w:right w:w="108" w:type="dxa"/>
            </w:tcMar>
            <w:vAlign w:val="center"/>
          </w:tcPr>
          <w:p w14:paraId="0DF84236">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服务响应</w:t>
            </w:r>
          </w:p>
        </w:tc>
        <w:tc>
          <w:tcPr>
            <w:tcW w:w="930" w:type="dxa"/>
            <w:noWrap w:val="0"/>
            <w:tcMar>
              <w:left w:w="108" w:type="dxa"/>
              <w:right w:w="108" w:type="dxa"/>
            </w:tcMar>
            <w:vAlign w:val="center"/>
          </w:tcPr>
          <w:p w14:paraId="7E600C4B">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jc w:val="center"/>
              <w:textAlignment w:val="auto"/>
              <w:rPr>
                <w:rFonts w:hint="eastAsia" w:ascii="宋体" w:hAnsi="宋体" w:eastAsia="宋体" w:cs="宋体"/>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rPr>
              <w:t>1</w:t>
            </w:r>
          </w:p>
        </w:tc>
        <w:tc>
          <w:tcPr>
            <w:tcW w:w="5168" w:type="dxa"/>
            <w:noWrap w:val="0"/>
            <w:tcMar>
              <w:left w:w="108" w:type="dxa"/>
              <w:right w:w="108" w:type="dxa"/>
            </w:tcMar>
            <w:vAlign w:val="center"/>
          </w:tcPr>
          <w:p w14:paraId="0E35DEE4">
            <w:pPr>
              <w:keepNext w:val="0"/>
              <w:keepLines w:val="0"/>
              <w:pageBreakBefore w:val="0"/>
              <w:widowControl/>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为保障本项目服务的便捷性，投标人做出响应承诺，承诺能在3小时内响应服务的得</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分。未承诺或承诺不符的不得分。</w:t>
            </w:r>
          </w:p>
        </w:tc>
      </w:tr>
      <w:tr w14:paraId="5FD0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trPr>
        <w:tc>
          <w:tcPr>
            <w:tcW w:w="1025" w:type="dxa"/>
            <w:noWrap w:val="0"/>
            <w:tcMar>
              <w:left w:w="108" w:type="dxa"/>
              <w:right w:w="108" w:type="dxa"/>
            </w:tcMar>
            <w:vAlign w:val="center"/>
          </w:tcPr>
          <w:p w14:paraId="12FAF1DD">
            <w:pPr>
              <w:keepNext w:val="0"/>
              <w:keepLines w:val="0"/>
              <w:pageBreakBefore w:val="0"/>
              <w:suppressLineNumbers w:val="0"/>
              <w:kinsoku/>
              <w:wordWrap/>
              <w:overflowPunct/>
              <w:topLinePunct w:val="0"/>
              <w:bidi w:val="0"/>
              <w:adjustRightInd/>
              <w:spacing w:before="0" w:beforeAutospacing="0" w:after="0" w:afterAutospacing="0" w:line="400" w:lineRule="exact"/>
              <w:ind w:left="0" w:right="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信息咨询业绩案例</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w:t>
            </w:r>
          </w:p>
        </w:tc>
        <w:tc>
          <w:tcPr>
            <w:tcW w:w="1210" w:type="dxa"/>
            <w:noWrap w:val="0"/>
            <w:tcMar>
              <w:left w:w="108" w:type="dxa"/>
              <w:right w:w="108" w:type="dxa"/>
            </w:tcMar>
            <w:vAlign w:val="center"/>
          </w:tcPr>
          <w:p w14:paraId="4FE95622">
            <w:pPr>
              <w:pageBreakBefore w:val="0"/>
              <w:numPr>
                <w:ilvl w:val="0"/>
                <w:numId w:val="0"/>
              </w:numPr>
              <w:kinsoku/>
              <w:wordWrap/>
              <w:overflowPunct/>
              <w:topLinePunct w:val="0"/>
              <w:bidi w:val="0"/>
              <w:spacing w:line="400" w:lineRule="exact"/>
              <w:ind w:left="0" w:leftChars="0" w:firstLine="0" w:firstLineChars="0"/>
              <w:textAlignment w:val="auto"/>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信息化项目业绩</w:t>
            </w:r>
          </w:p>
        </w:tc>
        <w:tc>
          <w:tcPr>
            <w:tcW w:w="930" w:type="dxa"/>
            <w:noWrap w:val="0"/>
            <w:tcMar>
              <w:left w:w="108" w:type="dxa"/>
              <w:right w:w="108" w:type="dxa"/>
            </w:tcMar>
            <w:vAlign w:val="center"/>
          </w:tcPr>
          <w:p w14:paraId="0F9FA5C7">
            <w:pPr>
              <w:pageBreakBefore w:val="0"/>
              <w:numPr>
                <w:ilvl w:val="0"/>
                <w:numId w:val="0"/>
              </w:numPr>
              <w:kinsoku/>
              <w:wordWrap/>
              <w:overflowPunct/>
              <w:topLinePunct w:val="0"/>
              <w:bidi w:val="0"/>
              <w:spacing w:line="400" w:lineRule="exact"/>
              <w:ind w:left="0" w:leftChars="0" w:firstLine="0" w:firstLineChars="0"/>
              <w:jc w:val="center"/>
              <w:textAlignment w:val="auto"/>
              <w:rPr>
                <w:rFonts w:hint="default"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w:t>
            </w:r>
          </w:p>
        </w:tc>
        <w:tc>
          <w:tcPr>
            <w:tcW w:w="5168" w:type="dxa"/>
            <w:noWrap w:val="0"/>
            <w:tcMar>
              <w:left w:w="108" w:type="dxa"/>
              <w:right w:w="108" w:type="dxa"/>
            </w:tcMar>
            <w:vAlign w:val="center"/>
          </w:tcPr>
          <w:p w14:paraId="06E7C2C0">
            <w:pPr>
              <w:pageBreakBefore w:val="0"/>
              <w:numPr>
                <w:ilvl w:val="0"/>
                <w:numId w:val="0"/>
              </w:numPr>
              <w:kinsoku/>
              <w:wordWrap/>
              <w:overflowPunct/>
              <w:topLinePunct w:val="0"/>
              <w:bidi w:val="0"/>
              <w:spacing w:line="400" w:lineRule="exact"/>
              <w:ind w:left="0" w:leftChars="0" w:firstLine="0" w:firstLineChars="0"/>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投标人提供2019年以来（以合同签订日期为准）完成的类似咨询案例，提供相关网站中标（成交）公告的下载网页及其网 址）、中标（成交）通知书复印件、采购合同文本复印件，以及能够证明该业绩已经验收合格的相关证明文件复印件（验收报告或业主证明或专家验收评审意见）。未提供上述完整资料或者缺少其中任何一项资料者不计分。每个合格案例</w:t>
            </w:r>
            <w:r>
              <w:rPr>
                <w:rFonts w:hint="eastAsia" w:ascii="宋体" w:hAnsi="宋体" w:eastAsia="宋体" w:cs="宋体"/>
                <w:color w:val="auto"/>
                <w:kern w:val="2"/>
                <w:sz w:val="24"/>
                <w:szCs w:val="24"/>
                <w:highlight w:val="none"/>
                <w:lang w:val="en-US" w:eastAsia="zh-CN"/>
              </w:rPr>
              <w:t>0.5</w:t>
            </w:r>
            <w:r>
              <w:rPr>
                <w:rFonts w:hint="eastAsia" w:ascii="宋体" w:hAnsi="宋体" w:eastAsia="宋体" w:cs="宋体"/>
                <w:color w:val="auto"/>
                <w:kern w:val="2"/>
                <w:sz w:val="24"/>
                <w:szCs w:val="24"/>
                <w:highlight w:val="none"/>
              </w:rPr>
              <w:t>分，满分</w:t>
            </w:r>
            <w:r>
              <w:rPr>
                <w:rFonts w:hint="eastAsia" w:ascii="宋体" w:hAnsi="宋体" w:eastAsia="宋体"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w:t>
            </w:r>
          </w:p>
        </w:tc>
      </w:tr>
    </w:tbl>
    <w:p w14:paraId="14F7E74F">
      <w:pPr>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br w:type="page"/>
      </w:r>
    </w:p>
    <w:p w14:paraId="0191E3B3">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210" w:leftChars="0" w:firstLine="240" w:firstLineChars="100"/>
        <w:textAlignment w:val="auto"/>
        <w:rPr>
          <w:rFonts w:hint="eastAsia" w:ascii="宋体" w:hAnsi="宋体" w:eastAsia="宋体" w:cs="宋体"/>
          <w:b/>
          <w:bCs/>
          <w:color w:val="auto"/>
          <w:kern w:val="2"/>
          <w:sz w:val="24"/>
          <w:szCs w:val="24"/>
          <w:highlight w:val="none"/>
          <w:lang w:val="en-US" w:eastAsia="zh-CN"/>
        </w:rPr>
      </w:pPr>
      <w:r>
        <w:rPr>
          <w:rFonts w:hint="eastAsia" w:ascii="宋体" w:hAnsi="宋体" w:eastAsia="宋体" w:cs="宋体"/>
          <w:b/>
          <w:bCs/>
          <w:color w:val="auto"/>
          <w:kern w:val="2"/>
          <w:sz w:val="24"/>
          <w:szCs w:val="24"/>
          <w:highlight w:val="none"/>
          <w:lang w:val="en-US" w:eastAsia="zh-CN"/>
        </w:rPr>
        <w:t>企业信用分评分标准：满分10分</w:t>
      </w:r>
    </w:p>
    <w:tbl>
      <w:tblPr>
        <w:tblStyle w:val="18"/>
        <w:tblW w:w="8345" w:type="dxa"/>
        <w:tblInd w:w="546"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fixed"/>
        <w:tblCellMar>
          <w:top w:w="0" w:type="dxa"/>
          <w:left w:w="0" w:type="dxa"/>
          <w:bottom w:w="0" w:type="dxa"/>
          <w:right w:w="0" w:type="dxa"/>
        </w:tblCellMar>
      </w:tblPr>
      <w:tblGrid>
        <w:gridCol w:w="907"/>
        <w:gridCol w:w="915"/>
        <w:gridCol w:w="6523"/>
      </w:tblGrid>
      <w:tr w14:paraId="69B0E86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cantSplit/>
          <w:trHeight w:val="551" w:hRule="atLeast"/>
        </w:trPr>
        <w:tc>
          <w:tcPr>
            <w:tcW w:w="90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090C661">
            <w:pPr>
              <w:widowControl/>
              <w:adjustRightInd/>
              <w:spacing w:beforeLines="0" w:afterLines="0" w:line="360" w:lineRule="exact"/>
              <w:jc w:val="center"/>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评分项目</w:t>
            </w:r>
          </w:p>
        </w:tc>
        <w:tc>
          <w:tcPr>
            <w:tcW w:w="91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1F6521B">
            <w:pPr>
              <w:widowControl/>
              <w:adjustRightInd/>
              <w:spacing w:beforeLines="0" w:afterLines="0" w:line="360" w:lineRule="exact"/>
              <w:jc w:val="center"/>
              <w:textAlignment w:val="auto"/>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分值（分）</w:t>
            </w:r>
          </w:p>
        </w:tc>
        <w:tc>
          <w:tcPr>
            <w:tcW w:w="6523"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C81CDF6">
            <w:pPr>
              <w:spacing w:beforeLines="0" w:afterLines="0" w:line="360" w:lineRule="exact"/>
              <w:jc w:val="center"/>
              <w:rPr>
                <w:rFonts w:hint="eastAsia" w:ascii="宋体" w:hAnsi="宋体" w:eastAsia="宋体" w:cs="宋体"/>
                <w:b/>
                <w:bCs/>
                <w:color w:val="auto"/>
                <w:kern w:val="2"/>
                <w:sz w:val="24"/>
                <w:szCs w:val="24"/>
                <w:highlight w:val="none"/>
              </w:rPr>
            </w:pPr>
            <w:r>
              <w:rPr>
                <w:rFonts w:hint="eastAsia" w:ascii="宋体" w:hAnsi="宋体" w:eastAsia="宋体" w:cs="宋体"/>
                <w:b/>
                <w:bCs/>
                <w:color w:val="auto"/>
                <w:kern w:val="2"/>
                <w:sz w:val="24"/>
                <w:szCs w:val="24"/>
                <w:highlight w:val="none"/>
              </w:rPr>
              <w:t>评分标准</w:t>
            </w:r>
          </w:p>
        </w:tc>
      </w:tr>
      <w:tr w14:paraId="4ADD24F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cantSplit/>
          <w:trHeight w:val="4225" w:hRule="atLeast"/>
        </w:trPr>
        <w:tc>
          <w:tcPr>
            <w:tcW w:w="907"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65D6305">
            <w:pPr>
              <w:widowControl/>
              <w:adjustRightInd/>
              <w:spacing w:beforeLines="0" w:afterLines="0" w:line="360" w:lineRule="exact"/>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企业信用</w:t>
            </w:r>
          </w:p>
          <w:p w14:paraId="04C2CA68">
            <w:pPr>
              <w:widowControl/>
              <w:adjustRightInd/>
              <w:spacing w:beforeLines="0" w:afterLines="0" w:line="360" w:lineRule="exact"/>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（10分）</w:t>
            </w:r>
          </w:p>
        </w:tc>
        <w:tc>
          <w:tcPr>
            <w:tcW w:w="91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3F330F36">
            <w:pPr>
              <w:widowControl/>
              <w:adjustRightInd/>
              <w:spacing w:beforeLines="0" w:afterLines="0" w:line="360" w:lineRule="exact"/>
              <w:jc w:val="center"/>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w:t>
            </w:r>
          </w:p>
        </w:tc>
        <w:tc>
          <w:tcPr>
            <w:tcW w:w="6523"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2F5A852">
            <w:pPr>
              <w:widowControl/>
              <w:spacing w:beforeLines="0" w:afterLines="0" w:line="360" w:lineRule="exact"/>
              <w:ind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独立投标人（或联合体牵头人）在“福建省勘察设计单位和施工图审查机构信用评价系统”中季度信用排在前 30 名（含30名）的10分，排在 30~50 名 （含 50 名）的得7分，排在50名之后的得5分。</w:t>
            </w:r>
          </w:p>
          <w:p w14:paraId="019DCB7C">
            <w:pPr>
              <w:widowControl/>
              <w:spacing w:beforeLines="0" w:afterLines="0" w:line="360" w:lineRule="exact"/>
              <w:ind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①在每季度首月10日后开标的招标项目，纳入招投标评分的工程设计单位信用综合评价分值，应为投标人在上季度的企业季度信用得分。而在每季度首月10日前（含10日）开标的，则为投标人在上季度前一个季度的企业季度信用得分。</w:t>
            </w:r>
          </w:p>
          <w:p w14:paraId="2A6F297F">
            <w:pPr>
              <w:widowControl/>
              <w:spacing w:beforeLines="0" w:afterLines="0" w:line="360" w:lineRule="exact"/>
              <w:ind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②福建省勘察设计单位和施工图审查机构信用评价系统（网址：zjt.fujian.gov.cn）每季度公布设计单位的企业季度信用得分（房屋建筑、市政工程）。</w:t>
            </w:r>
          </w:p>
          <w:p w14:paraId="29A8922E">
            <w:pPr>
              <w:widowControl/>
              <w:spacing w:beforeLines="0" w:afterLines="0" w:line="360" w:lineRule="exact"/>
              <w:ind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③对评价系统没有公布企业季度信用得分的投标人，其企业季度信用得分以55分确定。</w:t>
            </w:r>
          </w:p>
          <w:p w14:paraId="0AC70261">
            <w:pPr>
              <w:widowControl/>
              <w:spacing w:beforeLines="0" w:afterLines="0" w:line="360" w:lineRule="exact"/>
              <w:ind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上述企业信用评价均适用：①企业信用得分以项目截标时在评价系统已发布的数据为准。项目截标后不论何种原因变更的信用评价信息，不在变更前已截标的招投标项目中使用。</w:t>
            </w:r>
          </w:p>
          <w:p w14:paraId="75DACE9B">
            <w:pPr>
              <w:widowControl/>
              <w:spacing w:beforeLines="0" w:afterLines="0" w:line="360" w:lineRule="exact"/>
              <w:ind w:firstLine="0" w:firstLine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②如由于投标人名称变更，造成福建省住房和城乡建设厅信用评价系统公布的与变更后的单位名称不一致的，投标人应当在资格商务文件中附上名称变更证明材料原件扫描件。未按上述规定提交的，按零分计取。</w:t>
            </w:r>
          </w:p>
          <w:p w14:paraId="1999906C">
            <w:pPr>
              <w:widowControl/>
              <w:spacing w:beforeLines="0" w:afterLines="0" w:line="360" w:lineRule="exact"/>
              <w:ind w:firstLine="0" w:firstLineChars="0"/>
              <w:jc w:val="left"/>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lang w:val="en-US" w:eastAsia="zh-CN"/>
              </w:rPr>
              <w:t>③承担相同承包内容的专业单位组成联合体的，按照企业信用分较低的单位确定信用分。</w:t>
            </w:r>
          </w:p>
        </w:tc>
      </w:tr>
    </w:tbl>
    <w:p w14:paraId="4A287480">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排列规则顺序和并列相同时的处理约定如下：</w:t>
      </w:r>
    </w:p>
    <w:p w14:paraId="1C81F3FA">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a.成交候选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按照综合评审总得分（FA）由高到低顺序排列推荐。</w:t>
      </w:r>
    </w:p>
    <w:p w14:paraId="58A8E713">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b.综合评审总得分（FA）相同的，按照经评审最后磋商报价（即经政府采购优惠政策进行价格扣除后的最后报价）由低到高顺序推荐。</w:t>
      </w:r>
    </w:p>
    <w:p w14:paraId="740DBC2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c.综合评审总得分（FA）且经评审最后磋商报价（即经政府采购优惠政策进行价格扣除后的最后报价）仍然相同的，按照技术指标优劣顺序推荐。</w:t>
      </w:r>
    </w:p>
    <w:p w14:paraId="5BA8EAD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d.经前述顺序处理仍然并列相同的，则通过随机抽取方式确定优先顺序推荐。</w:t>
      </w:r>
    </w:p>
    <w:p w14:paraId="1E4456D6">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b/>
          <w:sz w:val="24"/>
          <w:szCs w:val="24"/>
          <w:highlight w:val="none"/>
        </w:rPr>
      </w:pPr>
    </w:p>
    <w:p w14:paraId="28C8A333">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四、评审报告</w:t>
      </w:r>
    </w:p>
    <w:p w14:paraId="1E7A4DA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4.1磋商小组完成评审后，应当编写评审报告并提交给采购人。</w:t>
      </w:r>
    </w:p>
    <w:p w14:paraId="095B9EC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4.2评审报告应当包括以下主要内容：</w:t>
      </w:r>
    </w:p>
    <w:p w14:paraId="1F340060">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（一）邀请</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参加采购活动的具体方式和相关情况；</w:t>
      </w:r>
    </w:p>
    <w:p w14:paraId="0B67616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（二）响应文件开启日期和地点；</w:t>
      </w:r>
    </w:p>
    <w:p w14:paraId="36C25CEA">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（三）获取磋商文件的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名单和磋商小组成员名单；</w:t>
      </w:r>
    </w:p>
    <w:p w14:paraId="02C31A6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（四）评审情况记录和说明，包括对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的资格审查情况、</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响应文件评审情况、磋商情况、报价情况等；</w:t>
      </w:r>
    </w:p>
    <w:p w14:paraId="646CEE0C">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（五）提出的成交候选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的排序名单及理由。</w:t>
      </w:r>
    </w:p>
    <w:p w14:paraId="762F24A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4.3评审报告应当由磋商小组全体人员签字认可。磋商小组成员对评审报告有异议的，磋商小组按照少数服从多数的原则推荐成交候选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0668683">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五、其他规定</w:t>
      </w:r>
    </w:p>
    <w:p w14:paraId="1A31562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5.1其他规定</w:t>
      </w:r>
    </w:p>
    <w:p w14:paraId="14D4D78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5.1.1评审应全程保密且不得透露给任一</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或与评审工作无关的人员。</w:t>
      </w:r>
    </w:p>
    <w:p w14:paraId="511D7612">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5.1.2评审将进行全程实时录音录像，录音录像资料随采购文件一并存档。</w:t>
      </w:r>
    </w:p>
    <w:p w14:paraId="229D297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5.1.3若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有任何试图干扰具体评审事务，影响磋商小组独立履行职责的行为，其响应无效且不予退还磋商保证金或通过保函进行索赔。情节严重的，列入不良行为记录。</w:t>
      </w:r>
    </w:p>
    <w:p w14:paraId="49E9C11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5.1.4根据采购项目的特点和需要，需要加以详细说明的其他磋商程序规定、要求等内容：无</w:t>
      </w:r>
      <w:r>
        <w:rPr>
          <w:rFonts w:hint="eastAsia" w:ascii="宋体" w:hAnsi="宋体" w:eastAsia="宋体" w:cs="宋体"/>
          <w:sz w:val="24"/>
          <w:szCs w:val="24"/>
          <w:highlight w:val="none"/>
          <w:lang w:eastAsia="zh-CN"/>
        </w:rPr>
        <w:t>。</w:t>
      </w:r>
    </w:p>
    <w:p w14:paraId="5C3A9DB1">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第2节 竞争性磋商须知</w:t>
      </w:r>
    </w:p>
    <w:p w14:paraId="47179907">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一、总则</w:t>
      </w:r>
    </w:p>
    <w:p w14:paraId="6FBA5B4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1.适用范围：</w:t>
      </w:r>
    </w:p>
    <w:p w14:paraId="42F3377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1.1适用于磋商文件载明项目的采购活动（以下简称：“本次采购活动”）。</w:t>
      </w:r>
    </w:p>
    <w:p w14:paraId="1461626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2.定义及要求：</w:t>
      </w:r>
    </w:p>
    <w:p w14:paraId="5897869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2.1“采购标的”指磋商文件载明的需要采购的货物、服务、工程。</w:t>
      </w:r>
    </w:p>
    <w:p w14:paraId="5D8D488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2.2“采购人”指</w:t>
      </w:r>
      <w:r>
        <w:rPr>
          <w:rFonts w:hint="eastAsia" w:ascii="宋体" w:hAnsi="宋体" w:eastAsia="宋体" w:cs="宋体"/>
          <w:sz w:val="24"/>
          <w:szCs w:val="24"/>
          <w:highlight w:val="none"/>
          <w:lang w:val="en-US" w:eastAsia="zh-CN"/>
        </w:rPr>
        <w:t>福建省儿童医院</w:t>
      </w:r>
      <w:r>
        <w:rPr>
          <w:rFonts w:hint="eastAsia" w:ascii="宋体" w:hAnsi="宋体" w:eastAsia="宋体" w:cs="宋体"/>
          <w:sz w:val="24"/>
          <w:szCs w:val="24"/>
          <w:highlight w:val="none"/>
        </w:rPr>
        <w:t>，具体见磋商文件第一章；</w:t>
      </w:r>
    </w:p>
    <w:p w14:paraId="01F7DAB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2.3“潜在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”按照磋商文件第一章规定进行获取文件，且有意向参加本项目响应磋商的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171EF8D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”指按照磋商文件第一章规定进行获取文件，且已经提交响应文件的法人或其他组织或自然人。只有适合自然人参与和承接的政府采购项目，</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才可以是自然人。</w:t>
      </w:r>
    </w:p>
    <w:p w14:paraId="6436A68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2.5“单位负责人”指单位法定代表人（</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为法人的）或法律、法规规定代表单位行使职权的主要负责人（</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为其他组织的）。</w:t>
      </w:r>
    </w:p>
    <w:p w14:paraId="3C7CD43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2.6“</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代表”指</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（为法人或其他组织的）的单位负责人或由其授权的委托代理人，即单位负责人授权书中载明的接受授权方。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为自然人的，由本人签字并附身份证明。</w:t>
      </w:r>
    </w:p>
    <w:p w14:paraId="52174F5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3.合格的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25FC528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3.1一般规定</w:t>
      </w:r>
    </w:p>
    <w:p w14:paraId="1EEC888E">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除了应遵守政府采购法及实施条例、政府采购非招标采购方式管理办法及财政部、福建省财政厅有关政府采购文件的规定外，还应遵守《中华人民共和国劳动合同法》有关规定和《中华人民共和国妇女权益保障法 》中关于“劳动和社会保障权益”的有关要求以及其他有关法律、法规和规章的强制性规定。</w:t>
      </w:r>
    </w:p>
    <w:p w14:paraId="00BA94F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对提供福建省政府采购</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6104E7A">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3.1.2为采购项目提供整体设计、规范编制或项目管理、监理、检测等服务的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，不得再参加该采购项目除整体设计、规范编制和项目管理、监理、检测等服务之外的其他采购活动。</w:t>
      </w:r>
    </w:p>
    <w:p w14:paraId="11DABC49">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3.1.3列入失信被执行人、重大税收违法案件当事人名单、政府采购严重违法失信行为记录名单及其他不符合《中华人民共和国政府采购法》第二十二条规定条件的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，不得参加政府采购活动。</w:t>
      </w:r>
    </w:p>
    <w:p w14:paraId="1C7225F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有责任检查自身情况，在响应文件中对是否违反以上一般规定做出如实声明，否则其响应文件将被否决。</w:t>
      </w:r>
    </w:p>
    <w:p w14:paraId="3354FBE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3.2特别规定</w:t>
      </w:r>
    </w:p>
    <w:p w14:paraId="29EDBA02">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的资格要求：详见竞争性磋商须知前附表第1项。</w:t>
      </w:r>
    </w:p>
    <w:p w14:paraId="0299A7A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3.2.2是否接受联合体形式的响应磋商：详见竞争性磋商须知前附表第2项。若接受联合体形式且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为联合体，则联合体各方除了应遵守本章第3.1条规定外，还应遵守下列规定：</w:t>
      </w:r>
    </w:p>
    <w:p w14:paraId="2AF2953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（1）联合体各方应提交联合体协议，联合体协议应符合磋商文件规定。</w:t>
      </w:r>
    </w:p>
    <w:p w14:paraId="680C977D">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（2）联合体各方不得再单独参加或与其他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另外组成联合体参加同一合同项下的响应磋商。</w:t>
      </w:r>
    </w:p>
    <w:p w14:paraId="234AC9B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（3）联合体各方应共同与采购人签订政府采购合同，就政府采购合同约定的事项对采购人承担连带责任。</w:t>
      </w:r>
    </w:p>
    <w:p w14:paraId="68936C7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（4）项目如涉及资质要求，该部分工作内容应由联合体中符合该资质要求的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承担，联合体协议及签订的采购合同应符合这一要求；联合体中有同类资质的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按照联合体分工承担相同工作的，应当按照资质等级较低的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确定资质等级。</w:t>
      </w:r>
    </w:p>
    <w:p w14:paraId="37DEF7B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（5）联合体一方放弃成交的，视为联合体整体放弃成交，联合体各方承担连带责任。</w:t>
      </w:r>
    </w:p>
    <w:p w14:paraId="21F5CE1E">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（6）如本项目不接受联合体报价而</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为联合体的，或者本项目接受联合体报价但</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组成的联合体不符合本章第3.2条规定的，其报价无效。</w:t>
      </w:r>
    </w:p>
    <w:p w14:paraId="07E3592C">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3.2.3若接受联合体形式，单位负责人为同一人或者存在直接控股、管理关系的不同</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可以组成一个联合体，以一个</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的身份参加政府采购活动。若不接受联合体形式，则单位负责人为同一人或者存在直接控股、管理关系的不同</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，不得参加同一合同项下的政府采购活动。</w:t>
      </w:r>
    </w:p>
    <w:p w14:paraId="1B68363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4.参与竞争性磋商费用：</w:t>
      </w:r>
    </w:p>
    <w:p w14:paraId="0E813AB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4.1除法律法规或采购文件另有规定之外，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应自行承担其准备与参加竞争性磋商所涉及的一切费用。</w:t>
      </w:r>
    </w:p>
    <w:p w14:paraId="4CFFDCE0">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二、竞争性磋商文件</w:t>
      </w:r>
    </w:p>
    <w:p w14:paraId="0CF6AD6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5.竞争性磋商文件的组成：</w:t>
      </w:r>
    </w:p>
    <w:p w14:paraId="4C9CE44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5.1竞争性磋商文件由下述部分组成：</w:t>
      </w:r>
    </w:p>
    <w:p w14:paraId="35BA123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第一章 采购公告（或采购邀请书）</w:t>
      </w:r>
    </w:p>
    <w:p w14:paraId="712222B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第二章 竞争性磋商须知</w:t>
      </w:r>
    </w:p>
    <w:p w14:paraId="19BC3BA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第三章 采购内容及要求</w:t>
      </w:r>
    </w:p>
    <w:p w14:paraId="0DA0062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第四章 合同主要条款及格式</w:t>
      </w:r>
    </w:p>
    <w:p w14:paraId="126EB54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第五章 首次响应文件格式</w:t>
      </w:r>
    </w:p>
    <w:p w14:paraId="0FCBE00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5.2除上述内容以外，采购人、采购代理机构或者磋商小组在采购过程期间对磋商文件所作的澄清、修改或补充，均构成磋商文件的组成部分，对采购人和</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具有约束力。</w:t>
      </w:r>
    </w:p>
    <w:p w14:paraId="6E248E6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6.竞争性磋商文件的澄清、补充、修改及现场考察等：</w:t>
      </w:r>
    </w:p>
    <w:p w14:paraId="5278514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6.1提交首次响应文件截止之日前，采购人、采购代理机构或者磋商小组可以对已发出的磋商文件进行必要的澄清、补充或者修改，澄清、补充或者修改的内容作为磋商文件的组成部分。澄清、补充或者修改的内容可能影响响应文件编制的，采购人、采购代理机构或者磋商小组将在提交首次响应文件截止时间5个日历日前，以书面形式通知所有获取磋商文件的潜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，不足5个日历日的，采购人、采购代理机构或磋商小组将顺延提交首次响应文件的截止时间。</w:t>
      </w:r>
    </w:p>
    <w:p w14:paraId="4FA2FE5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6.2提交首次响应文件截止时间前，若采购人发布更正公告，则更正公告及其所发布的内容或信息（包括但不限于竞争性磋商文件的澄清、补充或修改等）作为磋商文件组成部分，对采购人和</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具有约束力。更正公告作为采购人、采购代理机构或磋商小组通知所有潜在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的书面形式，潜在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务必随时关注磋商文件中载明的指定媒体，以免遗漏。</w:t>
      </w:r>
    </w:p>
    <w:p w14:paraId="3382841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6.3采购人、采购代理机构可以视采购项目的具体情况，组织</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进行现场考察或召开磋商前答疑会，是否组织现场考察或召开磋商前答疑会详见竞争性磋商须知前附表第3项。</w:t>
      </w:r>
    </w:p>
    <w:p w14:paraId="02A04113">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三、响应文件编制</w:t>
      </w:r>
    </w:p>
    <w:p w14:paraId="5171613C">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7.应标要求</w:t>
      </w:r>
    </w:p>
    <w:p w14:paraId="2596FAB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可按照采购包号，对竞争性磋商文件中载明的全部或部分采购包进行响应。对于能够详细列明采购标的技术、服务要求的采购项目，</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响应时，对同一个采购包内所有的采购内容和要求必须进行完整响应，否则其相应采购包的响应文件将被否决。</w:t>
      </w:r>
    </w:p>
    <w:p w14:paraId="12A268E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代表在同一个合同项下只能接受一个</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的委托参加响应磋商，否则其响应文件将被否决。</w:t>
      </w:r>
    </w:p>
    <w:p w14:paraId="6203690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7.3</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应仔细阅读磋商文件的所有内容和要求，按磋商文件的规定提供响应文件，并对其所提供的全部资料、承诺和声明的真实性、合法性和准确性负责。</w:t>
      </w:r>
    </w:p>
    <w:p w14:paraId="5F1B10A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7.4除非竞争性磋商须知前附表另有规定外，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提供的响应文件应使用中文文本，若有不同文字文本，以中文文本为准。</w:t>
      </w:r>
    </w:p>
    <w:p w14:paraId="542C912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7.5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027621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7.6除非竞争性磋商须知前附表另有规定外，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承诺的报价应以人民币进行报价，合同实施结算时亦以人民币支付；所有计量均采用中华人民共和国法定计量单位。</w:t>
      </w:r>
    </w:p>
    <w:p w14:paraId="4A7A650D">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8.首次响应文件的组成：</w:t>
      </w:r>
    </w:p>
    <w:p w14:paraId="20FD30C0">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8.1首次响应文件包括但不限于下列部分：</w:t>
      </w:r>
    </w:p>
    <w:p w14:paraId="2E557A4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（1）响应函</w:t>
      </w:r>
    </w:p>
    <w:p w14:paraId="34FF78C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报价一览表</w:t>
      </w:r>
    </w:p>
    <w:p w14:paraId="1AFF7B7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（3）资格证明文件</w:t>
      </w:r>
    </w:p>
    <w:p w14:paraId="6581A82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（4）磋商保证金凭证</w:t>
      </w:r>
    </w:p>
    <w:p w14:paraId="00E0456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（5）技术和商务偏离表</w:t>
      </w:r>
    </w:p>
    <w:p w14:paraId="1C2EC4E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（6）相关技术、商务、服务响应承诺及资料</w:t>
      </w:r>
    </w:p>
    <w:p w14:paraId="7281F19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提交的其他资料</w:t>
      </w:r>
    </w:p>
    <w:p w14:paraId="6D83372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（8）要求作为响应文件组成部分的其他内容（若有）</w:t>
      </w:r>
    </w:p>
    <w:p w14:paraId="6C57CAB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9.响应文件有效期：</w:t>
      </w:r>
    </w:p>
    <w:p w14:paraId="64FEB23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9.1响应文件有效期见竞争性磋商须知前附表第4项，响应文件承诺的有效期不得少于磋商文件载明的有效期，否则其响应文件将被否决。</w:t>
      </w:r>
    </w:p>
    <w:p w14:paraId="26E5297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9.2特殊情况下采购人可于响应文件有效期满之前要求</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同意延长有效期，要求与答复均应为书面形式。</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可以拒绝延长有效期，且其磋商保证金可以退还，但其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资格将被取消。同意延长有效期的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，不需要也不允许修改其响应文件及磋商承诺，但将要求其相应延长磋商保证金有效期，有关退还和不予退还磋商保证金的规定在有效期延长期内继续有效。</w:t>
      </w:r>
    </w:p>
    <w:p w14:paraId="1469A59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10.磋商保证金：</w:t>
      </w:r>
    </w:p>
    <w:p w14:paraId="0E8549A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应按竞争性磋商文件规定的金额、形式等要求提交磋商保证金。磋商文件若接受联合体形式且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为联合体的，则可以由联合体中的牵头方提交磋商保证金，其提交的磋商保证金对联合体各方均具有约束力。</w:t>
      </w:r>
    </w:p>
    <w:p w14:paraId="3C5051F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10.1.1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以汇款形式缴纳磋商保证金的，应从其银行账户（基本存款账户）按照下列方式：公对公转账方式向磋商文件载明的磋商保证金账户提交磋商保证金。磋商保证金应于首次响应文件递交截止时间前到达磋商文件载明的磋商保证金账户，否则视为磋商保证金未提交。</w:t>
      </w:r>
    </w:p>
    <w:p w14:paraId="6A9BC20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10.1.2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以保函形式提交磋商保证金的，保函的有效期应等于或长于响应文件承诺的有效期，否则其响应文件将被否决。</w:t>
      </w:r>
    </w:p>
    <w:p w14:paraId="4EE59C7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10.1.3其他形式：无</w:t>
      </w:r>
      <w:r>
        <w:rPr>
          <w:rFonts w:hint="eastAsia" w:ascii="宋体" w:hAnsi="宋体" w:eastAsia="宋体" w:cs="宋体"/>
          <w:sz w:val="24"/>
          <w:szCs w:val="24"/>
          <w:highlight w:val="none"/>
          <w:lang w:eastAsia="zh-CN"/>
        </w:rPr>
        <w:t>。</w:t>
      </w:r>
    </w:p>
    <w:p w14:paraId="5A93EE1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10.2磋商保证金为响应文件的重要组成部分之一。磋商保证金用于保护本次磋商活动免受</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的违约或失信行为而引起的风险。未按规定提交磋商保证金的，其响应文件将被否决。</w:t>
      </w:r>
    </w:p>
    <w:p w14:paraId="018467F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10.3磋商保证金退还：</w:t>
      </w:r>
    </w:p>
    <w:p w14:paraId="7C6ED79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10.3.1采购人或者采购代理机构将在采购活动结束后及时退还</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的保证金，但因</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自身原因导致无法及时退还的除外（比如：采购人委托代理机构组织磋商采购，成交的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未向采购代理机构出具已签订合同证明材料，造成磋商保证金退还时间延误的结果，由成交的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自行承担和谅解等）。未成交人的保证金将在成交通知书发出后5个工作日内退还，成交人的保证金将在采购合同签订后5个工作日内退还。关于磋商保证金退还的其它要求见竞争性磋商须知前附表第5项。</w:t>
      </w:r>
    </w:p>
    <w:p w14:paraId="56D762F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10.3.2质疑或投诉涉及的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，若其磋商保证金尚未退还，则待质疑或投诉处理完毕后，且没有发生法律法规或者磋商文件规定的不予退还磋商保证金情形，则由采购人或采购代理机构给予及时退还。</w:t>
      </w:r>
    </w:p>
    <w:p w14:paraId="0B4E9FB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10.4如果</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发生以下任何一种情况时，其磋商保证金将被不予退还或通过保函进行索赔：</w:t>
      </w:r>
    </w:p>
    <w:p w14:paraId="69EB6CD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在提交响应文件截止时间后撤回响应文件的；</w:t>
      </w:r>
    </w:p>
    <w:p w14:paraId="701707B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在响应文件中提供虚假材料的；</w:t>
      </w:r>
    </w:p>
    <w:p w14:paraId="09CC17F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(3)除因不可抗力或磋商文件认可的情形以外，成交人不与采购人签订合同的；</w:t>
      </w:r>
    </w:p>
    <w:p w14:paraId="524F049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与采购人、其他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或者采购代理机构恶意串通的；</w:t>
      </w:r>
    </w:p>
    <w:p w14:paraId="03CFA95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在提交最后报价后要求退出磋商的；</w:t>
      </w:r>
    </w:p>
    <w:p w14:paraId="5A5C2DB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假借以他人名义参加磋商或者以其他方式弄虚作假，骗取成交；</w:t>
      </w:r>
    </w:p>
    <w:p w14:paraId="2461C8C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(7)国家法律法规以及磋商文件中规定的其他磋商保证金不予退还的情形。</w:t>
      </w:r>
    </w:p>
    <w:p w14:paraId="6A9E080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上述不予退还磋商保证金的情况不能抵偿给采购人或采购代理机构造成损失的，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还要承担赔偿责任。</w:t>
      </w:r>
    </w:p>
    <w:p w14:paraId="0EE5FD9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11.响应文件基本编制要求：</w:t>
      </w:r>
    </w:p>
    <w:p w14:paraId="7EFFF82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须编制由本须知规定组成的响应文件正副本份数详见竞争性磋商须知前附表第6项。响应文件正本和全部副本均应使用不能擦去的墨料或墨水打印、书写或复印，副本可以用正本的完整复印件。响应文件封面上应标明“正本”、“副本”字样。正本与副本内容如有不一致，则以正本为准。</w:t>
      </w:r>
    </w:p>
    <w:p w14:paraId="194FC76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11.2响应文件应由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代表签字并加盖公章。</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代表如果不是竞争性磋商须知中定义的“单位负责人”，则其响应文件中还必须提供“单位负责人授权书”。</w:t>
      </w:r>
    </w:p>
    <w:p w14:paraId="7EB8F3C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11.3响应文件应尽量避免涂改、行间插字或删除。如果出现上述情况，改动之处应加盖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单位公章或由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代表签字确认。</w:t>
      </w:r>
    </w:p>
    <w:p w14:paraId="0A51EEB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11.4</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应提交证明其拟提供货物、服务或工程符合磋商文件要求的技术和商务响应文件，该文件可以是文字资料、图纸和数据，并对拟提供的货物、服务或工程的主要内容进行详细描述。</w:t>
      </w:r>
    </w:p>
    <w:p w14:paraId="4648857D">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12.纸质响应文件的密封、标识、签署和提交</w:t>
      </w:r>
    </w:p>
    <w:p w14:paraId="7082ADB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应当将响应文件密封包装提交，并在外封套上标识项目名称、项目编号、</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单位名称以及“于</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之前（指首次响应文件递交截止日期及时间）不准启封响应文件”的字样；采用邮寄方式提交响应文件的，其外包装上也必须按前文要求做好标识内容和字样，且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还应当主动向采购人或采购代理机构确认邮件收递情况。由于</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未按照要求对其提交的响应文件进行密封、标识、邮寄确认等，由此可能产生的后果（包括拒收、误放、遗漏或提前拆封等情形），将由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自行承担相应结果，采购人或采购代理机构不承担责任。</w:t>
      </w:r>
    </w:p>
    <w:p w14:paraId="07C8961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应当在磋商文件规定的提交响应文件截止时间前，将首次响应文件密封送达磋商文件规定的指定地点。在截止时间后送达的首次响应文件为无效文件，采购人、采购代理机构或者磋商小组将不予接收。</w:t>
      </w:r>
    </w:p>
    <w:p w14:paraId="54F37A3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12.3</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首次响应文件递交截止时间前，可以对其所提交的响应文件进行补充、修改或者撤回，并书面通知采购人、采购代理机构或磋商小组。补充、修改的内容作为响应文件的组成部分。补充、修改的内容与响应文件不一致的，以补充、修改的内容为准。</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在提交响应文件截止时间前提交的补充、修改或者撤回申请要求，应当以原件书面形式并由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代表签署（</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代表如果不是竞争性磋商须知中定义的“单位负责人”，则还必须提供“单位负责人授权书”），或者加盖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单位公章方可生效，否则采购人、采购代理机构或磋商小组将视为无效补充、修改或者撤回。采购人、采购代理机构或磋商小组不接受</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口头、电话、传真或电子邮件形式提交的补充、修改或者撤回。</w:t>
      </w:r>
    </w:p>
    <w:p w14:paraId="3C103C6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12.4</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在磋商过程中根据磋商小组要求，提交的有关澄清、说明、补充、更正响应文件以及最后报价响应文件等资料，均应由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代表签署（</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代表如果不是竞争性磋商须知中定义的“单位负责人”，则还必须提供“单位负责人授权书”），或者加盖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单位公章。</w:t>
      </w:r>
    </w:p>
    <w:p w14:paraId="16856E9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12.5除《政府采购竞争性磋商采购方式管理暂行办法》等相关法律法规及财政部门颁布的规范性文件允许的两家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进行竞争性磋商采购情形外，首次响应文件递交截止时间后，提交响应文件的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不足三家的，本次竞争性磋商活动终止，除采购任务取消情形外，采购人将依法重新组织采购或者采取其他方式采购。</w:t>
      </w:r>
    </w:p>
    <w:p w14:paraId="28048442">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四、竞争性磋商</w:t>
      </w:r>
    </w:p>
    <w:p w14:paraId="7826AF2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13.评审和磋商基本准则</w:t>
      </w:r>
    </w:p>
    <w:p w14:paraId="24674EA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13.1对所有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的评审和磋商，都采用相同的程序和标准。</w:t>
      </w:r>
    </w:p>
    <w:p w14:paraId="3CC3735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13.2磋商及评审过程将严格按照磋商文件的要求和条件进行，磋商小组将根据</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的响应文件，按磋商文件规定的磋商程序及评审的标准和方法进行评审、磋商，并推荐成交候选人。</w:t>
      </w:r>
    </w:p>
    <w:p w14:paraId="690B067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14.磋商程序以及评审标准和方法</w:t>
      </w:r>
    </w:p>
    <w:p w14:paraId="4353D71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14.1采购人将根据项目的特点依法组建磋商小组。磋商小组将根据磋商文件规定的程序、评审标准和方法等内容对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进行评审、磋商。</w:t>
      </w:r>
    </w:p>
    <w:p w14:paraId="0903456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14.2 在进入磋商阶段之前，磋商小组将对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提交的首次响应文件中资格证明文件以及其他响应文件是否对磋商文件的要求作出实质性响应进行审查。如果</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资格审查和实质性响应审查不合格，则其响应文件将被磋商小组否决，按无效处理，不进入磋商阶段，磋商小组将告知有关</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0EDDBFA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14.2.1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有下列情况之一者，其提交的响应文件将被视为未实质性响应磋商文件要求，磋商小组将否决其响应文件，按无效处理：</w:t>
      </w:r>
    </w:p>
    <w:p w14:paraId="6066854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采购包1：</w:t>
      </w:r>
    </w:p>
    <w:tbl>
      <w:tblPr>
        <w:tblStyle w:val="1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7"/>
        <w:gridCol w:w="1185"/>
        <w:gridCol w:w="6314"/>
      </w:tblGrid>
      <w:tr w14:paraId="50D381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7" w:type="dxa"/>
            <w:vAlign w:val="center"/>
          </w:tcPr>
          <w:p w14:paraId="0DAC580C">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185" w:type="dxa"/>
            <w:vAlign w:val="center"/>
          </w:tcPr>
          <w:p w14:paraId="1FCB4B74">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符合审查要求概况</w:t>
            </w:r>
          </w:p>
        </w:tc>
        <w:tc>
          <w:tcPr>
            <w:tcW w:w="6314" w:type="dxa"/>
            <w:vAlign w:val="center"/>
          </w:tcPr>
          <w:p w14:paraId="6E538CEB">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评审点具体描述</w:t>
            </w:r>
          </w:p>
        </w:tc>
      </w:tr>
      <w:tr w14:paraId="3004B8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7" w:type="dxa"/>
            <w:vAlign w:val="center"/>
          </w:tcPr>
          <w:p w14:paraId="797B1BE3">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85" w:type="dxa"/>
            <w:vAlign w:val="center"/>
          </w:tcPr>
          <w:p w14:paraId="7AB74148">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情形1</w:t>
            </w:r>
          </w:p>
        </w:tc>
        <w:tc>
          <w:tcPr>
            <w:tcW w:w="6314" w:type="dxa"/>
            <w:vAlign w:val="center"/>
          </w:tcPr>
          <w:p w14:paraId="55607B5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响应文件中提供的资格证明文件不全的；</w:t>
            </w:r>
          </w:p>
        </w:tc>
      </w:tr>
      <w:tr w14:paraId="199435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7" w:type="dxa"/>
            <w:vAlign w:val="center"/>
          </w:tcPr>
          <w:p w14:paraId="52007FFF">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185" w:type="dxa"/>
            <w:vAlign w:val="center"/>
          </w:tcPr>
          <w:p w14:paraId="43FF59F7">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情形2</w:t>
            </w:r>
          </w:p>
        </w:tc>
        <w:tc>
          <w:tcPr>
            <w:tcW w:w="6314" w:type="dxa"/>
            <w:vAlign w:val="center"/>
          </w:tcPr>
          <w:p w14:paraId="464A33F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响应文件未按磋商文件规定由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代表签字，或未按磋商文件规定加盖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单位公章的；或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代表未获得有效授权的；</w:t>
            </w:r>
          </w:p>
        </w:tc>
      </w:tr>
      <w:tr w14:paraId="69974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7" w:type="dxa"/>
            <w:vAlign w:val="center"/>
          </w:tcPr>
          <w:p w14:paraId="69FEC423">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185" w:type="dxa"/>
            <w:vAlign w:val="center"/>
          </w:tcPr>
          <w:p w14:paraId="055F833F">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情形3</w:t>
            </w:r>
          </w:p>
        </w:tc>
        <w:tc>
          <w:tcPr>
            <w:tcW w:w="6314" w:type="dxa"/>
            <w:vAlign w:val="center"/>
          </w:tcPr>
          <w:p w14:paraId="5F97C40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未按磋商文件规定提交磋商保证金的；</w:t>
            </w:r>
          </w:p>
        </w:tc>
      </w:tr>
      <w:tr w14:paraId="1B585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7" w:type="dxa"/>
            <w:vAlign w:val="center"/>
          </w:tcPr>
          <w:p w14:paraId="5635B735">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185" w:type="dxa"/>
            <w:vAlign w:val="center"/>
          </w:tcPr>
          <w:p w14:paraId="1313A72F">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情形4</w:t>
            </w:r>
          </w:p>
        </w:tc>
        <w:tc>
          <w:tcPr>
            <w:tcW w:w="6314" w:type="dxa"/>
            <w:vAlign w:val="center"/>
          </w:tcPr>
          <w:p w14:paraId="3661AB7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响应文件有效期不满足磋商文件要求的；</w:t>
            </w:r>
          </w:p>
        </w:tc>
      </w:tr>
      <w:tr w14:paraId="3CE31E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7" w:type="dxa"/>
            <w:vAlign w:val="center"/>
          </w:tcPr>
          <w:p w14:paraId="228D7FE6">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185" w:type="dxa"/>
            <w:vAlign w:val="center"/>
          </w:tcPr>
          <w:p w14:paraId="6B664BD6">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情形5</w:t>
            </w:r>
          </w:p>
        </w:tc>
        <w:tc>
          <w:tcPr>
            <w:tcW w:w="6314" w:type="dxa"/>
            <w:vAlign w:val="center"/>
          </w:tcPr>
          <w:p w14:paraId="4C730AC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响应内容与磋商采购内容及要求有重大偏离或保留的，限制了采购人的权利或者减少成交人合同项下的义务；（由于磋商项目本身特点，不能详细列明采购标的的技术、服务要求的除外）；</w:t>
            </w:r>
          </w:p>
        </w:tc>
      </w:tr>
      <w:tr w14:paraId="171C7C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7" w:type="dxa"/>
            <w:vAlign w:val="center"/>
          </w:tcPr>
          <w:p w14:paraId="274E2DDA">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1185" w:type="dxa"/>
            <w:vAlign w:val="center"/>
          </w:tcPr>
          <w:p w14:paraId="4824FCFA">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情形6</w:t>
            </w:r>
          </w:p>
        </w:tc>
        <w:tc>
          <w:tcPr>
            <w:tcW w:w="6314" w:type="dxa"/>
            <w:vAlign w:val="center"/>
          </w:tcPr>
          <w:p w14:paraId="1AA8906C">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响应文件中附有采购人无法接受的条件的；</w:t>
            </w:r>
          </w:p>
        </w:tc>
      </w:tr>
      <w:tr w14:paraId="53528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07" w:type="dxa"/>
            <w:vAlign w:val="center"/>
          </w:tcPr>
          <w:p w14:paraId="50371913">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1185" w:type="dxa"/>
            <w:vAlign w:val="center"/>
          </w:tcPr>
          <w:p w14:paraId="00C82C54">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情形7</w:t>
            </w:r>
          </w:p>
        </w:tc>
        <w:tc>
          <w:tcPr>
            <w:tcW w:w="6314" w:type="dxa"/>
            <w:vAlign w:val="center"/>
          </w:tcPr>
          <w:p w14:paraId="2B48DD5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不符合磋商文件中规定的其它实质性条款（比如：报价超过了磋商文件规定的最高限价）。</w:t>
            </w:r>
          </w:p>
        </w:tc>
      </w:tr>
    </w:tbl>
    <w:p w14:paraId="33EDF0D9">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14.2.2其他情形</w:t>
      </w:r>
    </w:p>
    <w:p w14:paraId="51DC7F0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采购包1：</w:t>
      </w:r>
    </w:p>
    <w:p w14:paraId="784F3D8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技术符合性</w:t>
      </w:r>
    </w:p>
    <w:tbl>
      <w:tblPr>
        <w:tblStyle w:val="18"/>
        <w:tblW w:w="850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62"/>
        <w:gridCol w:w="7242"/>
      </w:tblGrid>
      <w:tr w14:paraId="13789D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33" w:type="dxa"/>
          </w:tcPr>
          <w:p w14:paraId="7BDC97E6">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情形</w:t>
            </w:r>
          </w:p>
        </w:tc>
        <w:tc>
          <w:tcPr>
            <w:tcW w:w="7073" w:type="dxa"/>
          </w:tcPr>
          <w:p w14:paraId="39D2159C">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明细</w:t>
            </w:r>
          </w:p>
        </w:tc>
      </w:tr>
      <w:tr w14:paraId="584CF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33" w:type="dxa"/>
            <w:vAlign w:val="center"/>
          </w:tcPr>
          <w:p w14:paraId="27F093CB">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其他情形</w:t>
            </w:r>
          </w:p>
        </w:tc>
        <w:tc>
          <w:tcPr>
            <w:tcW w:w="7073" w:type="dxa"/>
            <w:vAlign w:val="center"/>
          </w:tcPr>
          <w:p w14:paraId="63078D2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①磋商文件第三章“二、技术要求”中以“★”标示的内容为不允许负偏离的实质性要求，</w:t>
            </w:r>
            <w:r>
              <w:rPr>
                <w:rFonts w:hint="eastAsia" w:ascii="宋体" w:hAnsi="宋体" w:eastAsia="宋体" w:cs="宋体"/>
                <w:sz w:val="24"/>
                <w:szCs w:val="24"/>
                <w:highlight w:val="none"/>
                <w:lang w:val="en-US" w:eastAsia="zh-CN"/>
              </w:rPr>
              <w:t>有</w:t>
            </w:r>
            <w:r>
              <w:rPr>
                <w:rFonts w:hint="eastAsia" w:ascii="宋体" w:hAnsi="宋体" w:eastAsia="宋体" w:cs="宋体"/>
                <w:sz w:val="24"/>
                <w:szCs w:val="24"/>
                <w:highlight w:val="none"/>
              </w:rPr>
              <w:t>负偏离或不满足的，其响应文件无效。</w:t>
            </w:r>
          </w:p>
        </w:tc>
      </w:tr>
    </w:tbl>
    <w:p w14:paraId="1387F87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商务符合性</w:t>
      </w:r>
    </w:p>
    <w:tbl>
      <w:tblPr>
        <w:tblStyle w:val="18"/>
        <w:tblW w:w="850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0"/>
        <w:gridCol w:w="7214"/>
      </w:tblGrid>
      <w:tr w14:paraId="13FFE0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0" w:type="dxa"/>
          </w:tcPr>
          <w:p w14:paraId="54899855">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情形</w:t>
            </w:r>
          </w:p>
        </w:tc>
        <w:tc>
          <w:tcPr>
            <w:tcW w:w="7214" w:type="dxa"/>
          </w:tcPr>
          <w:p w14:paraId="6DD8775C">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明细</w:t>
            </w:r>
          </w:p>
        </w:tc>
      </w:tr>
      <w:tr w14:paraId="5EF939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0" w:type="dxa"/>
            <w:vAlign w:val="center"/>
          </w:tcPr>
          <w:p w14:paraId="78C71DFF">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其他情形</w:t>
            </w:r>
          </w:p>
        </w:tc>
        <w:tc>
          <w:tcPr>
            <w:tcW w:w="7214" w:type="dxa"/>
            <w:vAlign w:val="center"/>
          </w:tcPr>
          <w:p w14:paraId="1314176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磋商文件第三章“三、商务条件”均为不允许负偏离的实质性要求，负偏离或不满足的，其响应文件无效。</w:t>
            </w:r>
          </w:p>
        </w:tc>
      </w:tr>
    </w:tbl>
    <w:p w14:paraId="17F1530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价格符合性：</w:t>
      </w:r>
    </w:p>
    <w:tbl>
      <w:tblPr>
        <w:tblStyle w:val="18"/>
        <w:tblW w:w="850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9"/>
        <w:gridCol w:w="7205"/>
      </w:tblGrid>
      <w:tr w14:paraId="1E14C0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9" w:type="dxa"/>
            <w:vAlign w:val="center"/>
          </w:tcPr>
          <w:p w14:paraId="59272956">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情形</w:t>
            </w:r>
          </w:p>
        </w:tc>
        <w:tc>
          <w:tcPr>
            <w:tcW w:w="7205" w:type="dxa"/>
          </w:tcPr>
          <w:p w14:paraId="113113CF">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明细</w:t>
            </w:r>
          </w:p>
        </w:tc>
      </w:tr>
      <w:tr w14:paraId="073A05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299" w:type="dxa"/>
            <w:vAlign w:val="center"/>
          </w:tcPr>
          <w:p w14:paraId="441DC21F">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其他情形</w:t>
            </w:r>
          </w:p>
        </w:tc>
        <w:tc>
          <w:tcPr>
            <w:tcW w:w="7205" w:type="dxa"/>
          </w:tcPr>
          <w:p w14:paraId="1D3D3461">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eastAsia="zh-CN"/>
              </w:rPr>
            </w:pPr>
            <w:r>
              <w:rPr>
                <w:rFonts w:ascii="宋体" w:hAnsi="宋体" w:cs="宋体"/>
                <w:color w:val="auto"/>
                <w:sz w:val="24"/>
                <w:szCs w:val="24"/>
                <w:highlight w:val="none"/>
              </w:rPr>
              <w:t>磋商小组认为</w:t>
            </w:r>
            <w:r>
              <w:rPr>
                <w:rFonts w:hint="eastAsia" w:ascii="宋体" w:hAnsi="宋体" w:cs="宋体"/>
                <w:color w:val="auto"/>
                <w:sz w:val="24"/>
                <w:szCs w:val="24"/>
                <w:highlight w:val="none"/>
                <w:lang w:eastAsia="zh-CN"/>
              </w:rPr>
              <w:t>投标人</w:t>
            </w:r>
            <w:r>
              <w:rPr>
                <w:rFonts w:ascii="宋体" w:hAnsi="宋体" w:cs="宋体"/>
                <w:color w:val="auto"/>
                <w:sz w:val="24"/>
                <w:szCs w:val="24"/>
                <w:highlight w:val="none"/>
              </w:rPr>
              <w:t>的报价明显低于其他通过符合性审查</w:t>
            </w:r>
            <w:r>
              <w:rPr>
                <w:rFonts w:hint="eastAsia" w:ascii="宋体" w:hAnsi="宋体" w:cs="宋体"/>
                <w:color w:val="auto"/>
                <w:sz w:val="24"/>
                <w:szCs w:val="24"/>
                <w:highlight w:val="none"/>
                <w:lang w:eastAsia="zh-CN"/>
              </w:rPr>
              <w:t>投标人</w:t>
            </w:r>
            <w:r>
              <w:rPr>
                <w:rFonts w:ascii="宋体" w:hAnsi="宋体" w:cs="宋体"/>
                <w:color w:val="auto"/>
                <w:sz w:val="24"/>
                <w:szCs w:val="24"/>
                <w:highlight w:val="none"/>
              </w:rPr>
              <w:t>的报价，有可能影响货物质量或不能诚信履约的，应要求其在评标现场合理的时间内</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30分钟内</w:t>
            </w:r>
            <w:r>
              <w:rPr>
                <w:rFonts w:hint="eastAsia" w:ascii="宋体" w:hAnsi="宋体" w:cs="宋体"/>
                <w:color w:val="auto"/>
                <w:sz w:val="24"/>
                <w:szCs w:val="24"/>
                <w:highlight w:val="none"/>
                <w:lang w:eastAsia="zh-CN"/>
              </w:rPr>
              <w:t>）</w:t>
            </w:r>
            <w:r>
              <w:rPr>
                <w:rFonts w:ascii="宋体" w:hAnsi="宋体" w:cs="宋体"/>
                <w:color w:val="auto"/>
                <w:sz w:val="24"/>
                <w:szCs w:val="24"/>
                <w:highlight w:val="none"/>
              </w:rPr>
              <w:t>提供书面说明，必要时还应要求其一并提交有关证明材料；</w:t>
            </w:r>
            <w:r>
              <w:rPr>
                <w:rFonts w:hint="eastAsia" w:ascii="宋体" w:hAnsi="宋体" w:cs="宋体"/>
                <w:color w:val="auto"/>
                <w:sz w:val="24"/>
                <w:szCs w:val="24"/>
                <w:highlight w:val="none"/>
                <w:lang w:eastAsia="zh-CN"/>
              </w:rPr>
              <w:t>投标人</w:t>
            </w:r>
            <w:r>
              <w:rPr>
                <w:rFonts w:ascii="宋体" w:hAnsi="宋体" w:cs="宋体"/>
                <w:color w:val="auto"/>
                <w:sz w:val="24"/>
                <w:szCs w:val="24"/>
                <w:highlight w:val="none"/>
              </w:rPr>
              <w:t>不能证明其报价合理性的</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按无效处理</w:t>
            </w:r>
            <w:r>
              <w:rPr>
                <w:rFonts w:hint="eastAsia" w:ascii="宋体" w:hAnsi="宋体" w:eastAsia="宋体" w:cs="宋体"/>
                <w:b w:val="0"/>
                <w:bCs/>
                <w:color w:val="auto"/>
                <w:sz w:val="24"/>
                <w:szCs w:val="24"/>
                <w:highlight w:val="none"/>
                <w:lang w:eastAsia="zh-CN"/>
              </w:rPr>
              <w:t>。</w:t>
            </w:r>
          </w:p>
        </w:tc>
      </w:tr>
    </w:tbl>
    <w:p w14:paraId="07F347F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磋商小组决定</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的响应性只根据响应文件本身的内容，而不寻求其他的外部证据。</w:t>
      </w:r>
    </w:p>
    <w:p w14:paraId="07369FB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14.3磋商小组在对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进行响应文件资格审查、实质响应性审查时，可以要求</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对响应文件中含义不明确、同类问题表述不一致或者有明显文字和计算错误的内容等作出必要的澄清、说明或者更正。</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的澄清、说明或者更正不得超出响应文件的范围或者改变响应文件的实质性内容。磋商小组要求</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澄清、说明或者更正响应文件应当以书面形式作出。</w:t>
      </w:r>
    </w:p>
    <w:p w14:paraId="583C32B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14.4只有资格审查和实质性响应审查合格的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才能进入磋商阶段。磋商小组所有成员将集中与单一</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分别进行磋商，并给予所有参加磋商的合格</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平等的磋商机会。磋商过程中，磋商小组可以根据磋商文件和磋商情况实质性变动采购需求中的技术、服务要求以及合同草案条款，但不得变动竞争性磋商文件中的其他内容。实质性变动的内容，须经采购人代表确认。磋商过程中对磋商文件作出的实质性变动是磋商文件的有效组成部分，磋商小组将及时以书面形式同时通知所有参加磋商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。根据采购项目的特点和需要，在磋商过程中可能发生实质性变动的内容详见竞争性磋商须知前附表第7项。</w:t>
      </w:r>
    </w:p>
    <w:p w14:paraId="78A808E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14.5合格</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应当按照磋商文件的变动情况和磋商小组的要求提交补充响应文件（首次响应文件中已经提交过的如资格证明文件等资料，不用重新提供），并由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代表签字或加盖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单位公章。</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代表如果不是竞争性磋商须知中定义的“单位负责人”，则还必须提供“单位负责人授权书”。</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为自然人的，应当由本人签字并附身份证明。</w:t>
      </w:r>
    </w:p>
    <w:p w14:paraId="290B26F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14.6磋商文件能够详细列明采购标的的技术、服务要求的，磋商结束后，磋商小组应当要求所有实质性响应的合格</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在规定时间内提交最后报价。属于《政府采购竞争性磋商采购方式管理暂行办法》等相关法律法规及财政部门颁布的规范性文件允许的两家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进行竞争性磋商采购情形，则提交最后报价的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可以为2家。</w:t>
      </w:r>
    </w:p>
    <w:p w14:paraId="22119FA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14.7磋商文件不能详细列明采购标的的技术、服务要求，需经磋商由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提供最终设计方案或解决方案的，磋商结束后，磋商小组应当按照少数服从多数的原则投票推荐3家及以上</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设计方案或者解决方案，具体推荐数量和投票细则等内容按照“竞争性磋商须知前附表”中专项附件：“评审的标准和方法”的相关条款规定执行，并要求其在规定时间内提交最后报价。属于《政府采购竞争性磋商采购方式管理暂行办法》等相关法律法规及财政部门颁布的规范性文件允许的两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进行竞争性磋商采购情形，则提交最后报价的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可以为2家。</w:t>
      </w:r>
    </w:p>
    <w:p w14:paraId="1D6631E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14.8最后报价是</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响应文件的有效组成部分。如果</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的最后报价明显低于其他最后报价，使得其最后报价有可能影响商品或服务质量或者不能诚信履约的，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应当按照磋商小组要求，在规定时间内作出书面说明，必要时提交相关证明材料；</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不能合理说明其报价合理性的，磋商小组可以做无效响应文件和无效报价处理。</w:t>
      </w:r>
    </w:p>
    <w:p w14:paraId="25FA66C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14.9磋商小组将采用综合评分法对提交最后报价的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的响应文件和最后报价进行综合评分，具体评审的标准和方法详见竞争性磋商须知前附表第8项。磋商小组根据综合评分情况，按照评审得分由高到低顺序推荐3名及以上成交候选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，并编写评审报告。属于《政府采购竞争性磋商采购方式管理暂行办法》等相关法律法规及财政部门颁布的规范性文件允许的两家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进行竞争性磋商采购情形，则可以按照评审得分由高到低顺序推荐2名成交候选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。如果成交候选</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出现并列相同的评审得分，则相应处理方式按照“竞争性磋商须知前附表”中专项附件：“评审的标准和方法”的相关条款规定执行。</w:t>
      </w:r>
    </w:p>
    <w:p w14:paraId="525F791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14.10</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提交的响应文件和资料将给予保密，但不退回（有关证件或证照的原件除外）。</w:t>
      </w:r>
    </w:p>
    <w:p w14:paraId="1A5950A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五、合同授予</w:t>
      </w:r>
    </w:p>
    <w:p w14:paraId="3F983D1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15.授予合同的准则：</w:t>
      </w:r>
    </w:p>
    <w:p w14:paraId="0A8BE67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15.1除不可抗力等因素外，合同将授予响应文件符合竞争性磋商文件要求，能够圆满地履行合同，且被磋商小组推荐为第一成交候选人的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4FA903D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15.2 政府采购合同履行中，采购人需追加与合同标的相同的货物、工程或者服务的，在不改变合同其他条款的前提下，可以与成交人协商签订补充合同，但所有补充合同的采购金额不得超过原合同采购金额的百分之十。</w:t>
      </w:r>
    </w:p>
    <w:p w14:paraId="34E855B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15.3为维护国家利益和社会公共利益，最低报价不是被授予合同的绝对保证。</w:t>
      </w:r>
    </w:p>
    <w:p w14:paraId="2A7CD87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16.确定成交</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w:t>
      </w:r>
    </w:p>
    <w:p w14:paraId="2FB3EB6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16.1采购人委托代理机构组织竞争性磋商采购活动的，采购代理机构在评审结束后2个工作日内将评审报告送采购人确认。</w:t>
      </w:r>
    </w:p>
    <w:p w14:paraId="5300C92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16.2采购人在收到评审报告后5个工作日内，从评审报告提出的成交候选人中，按照综合评分得分排序由高到低的原则确定成交人，也可以书面授权磋商小组直接确定成交人。采购人逾期未确定成交人且不提出异议的，视为确定评审报告提出的排序第一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为成交人。</w:t>
      </w:r>
    </w:p>
    <w:p w14:paraId="6D6ADE2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17.成交通知:</w:t>
      </w:r>
    </w:p>
    <w:p w14:paraId="5E8C68E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17.1采购人或者采购代理机构在成交人确定后2个工作日内，在省级以上财政部门指定的媒体上公告成交结果，同时向成交人发出成交通知书。采用书面推荐</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参加采购活动的，还将公告采购人和评审专家的推荐意见。</w:t>
      </w:r>
    </w:p>
    <w:p w14:paraId="6CC89F0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17.2成交通知书对采购人和成交人具有同等法律效力。除不可抗力因素或政策原因外，成交通知书发出后，采购人改变成交结果，或者成交人拒绝签订政府采购合同的，均应当承担相应的法律责任。未成交人对成交结果公告如果有异议的，应当自成交结果公告刊登之日起7个工作日内，以书面形式向采购人或采购代理机构提出质疑，有关质疑、投诉的相关规定和要求，按照《中华人民共和国政府采购法》、《中华人民共和国政府采购法实施条例》、有关财政部规章等法律文件规定执行。</w:t>
      </w:r>
    </w:p>
    <w:p w14:paraId="61D07EA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18.签订合同：</w:t>
      </w:r>
    </w:p>
    <w:p w14:paraId="790112E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18.1采购人与成交人应当（详见须知前附表中的18.1）按照采购文件确定的合同文本以及采购标的、规格型号、采购金额、采购数量、技术和服务要求等事项签订政府采购合同。根据项目的特点和需要，采购人如果对签订合同的时间期限、地点有特别要求的，可以在成交通知书中进一步明确，成交人应当按照成交通知书的规定和要求，及时与采购人签订合同。</w:t>
      </w:r>
    </w:p>
    <w:p w14:paraId="52FE420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18.2竞争性磋商文件、成交人的响应文件及其有关澄清承诺文件等，均为签订政府采购合同的依据和组成部分。</w:t>
      </w:r>
    </w:p>
    <w:p w14:paraId="069F8F7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18.3采购人不得向成交人提出超出竞争性磋商文件以外的任何要求作为签订合同的条件，不得与成交人订立背离竞争性磋商文件确定的合同文本以及采购标的、规格型号、采购金额、采购数量、技术和服务要求等实质性内容的协议。</w:t>
      </w:r>
    </w:p>
    <w:p w14:paraId="1D9E8E17">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六、询问、质疑与投诉</w:t>
      </w:r>
    </w:p>
    <w:p w14:paraId="3BAB585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19.询问</w:t>
      </w:r>
    </w:p>
    <w:p w14:paraId="3899803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19.1潜在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对本次采购活动的有关事项若有疑问，可向采购人或采购代理机构提出询问，采购人或采购代理机构将按照政府采购法及实施条例的有关规定进行答复。</w:t>
      </w:r>
    </w:p>
    <w:p w14:paraId="761F5E9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20.质疑</w:t>
      </w:r>
    </w:p>
    <w:p w14:paraId="495E319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20.1质疑应在政府采购法及实施条例规定的时效内提出，并符合下列条件：</w:t>
      </w:r>
    </w:p>
    <w:p w14:paraId="07589740">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20.1.1对磋商文件提出质疑的，质疑人应为潜在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，且两者的身份、名称等均应保持一致。对采购过程、结果提出质疑的，质疑人应为</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，且两者的身份、名称等均应保持一致。提出质疑的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应当是参与所质疑项目采购活动的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1A898A4A">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20.1.2质疑人应提交质疑函原件。</w:t>
      </w:r>
    </w:p>
    <w:p w14:paraId="134D07B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20.1.3质疑函应包括下列主要内容：</w:t>
      </w:r>
    </w:p>
    <w:p w14:paraId="1014F036">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质疑人的基本信息，至少包括：全称、地址、邮政编码、联系人及联系电话等；适合自然人参加磋商的政府采购项目且质疑人为自然人的，质疑人提供本人的身份证复印件。质疑人为法人或其他组织的，提供统一社会信用代码营业执照或者组织机构登记证件复印件、单位负责人的身份证复印件；质疑人代表为委托代理人的，还应同时提供单位负责人授权书和委托代理人的身份证复印件。</w:t>
      </w:r>
    </w:p>
    <w:p w14:paraId="1CCB5CC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②所质疑项目的基本信息，至少包括：项目编号、项目名称等；</w:t>
      </w:r>
    </w:p>
    <w:p w14:paraId="35FAA5DB">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③所质疑的具体事项（以下简称：“质疑事项”）；</w:t>
      </w:r>
    </w:p>
    <w:p w14:paraId="4B55F8DC">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④质疑人自身权益受到损害的事实依据和证明材料，至少包括：</w:t>
      </w:r>
    </w:p>
    <w:p w14:paraId="67FFF916">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a1所质疑的具体事项事实存在的证明材料；</w:t>
      </w:r>
    </w:p>
    <w:p w14:paraId="2EC6ABDE">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a2所质疑的具体事项事实导致质疑人自身权益受到损害的证明材料，如：采购文件、采购过程或成交结果违法违规，损害自已合法权益等证明材料；</w:t>
      </w:r>
    </w:p>
    <w:p w14:paraId="74D7E9E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若质疑的具体事项按照有关法律、法规和规章规定处于应当保密阶段，则应提供信息或证明材料为合法或公开渠道获得的有效证据（若证据无法有效表明信息或证明材料为合法或公开渠道获得，则前述信息或证明材料视为无效）。</w:t>
      </w:r>
    </w:p>
    <w:p w14:paraId="3ECDE53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⑤针对质疑事项提出的明确请求和法律依据，</w:t>
      </w:r>
    </w:p>
    <w:p w14:paraId="7C24A6B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前述明确请求指质疑人提出质疑的目的、希望采购人或采购代理机构对其质疑作出的处理结果，如：暂停采购活动、修改磋商文件、停止或纠正违法违规行为、成交结果无效、废标、重新采购等，质疑人提出质疑请求还应当对相应的法律依据进行说明。</w:t>
      </w:r>
    </w:p>
    <w:p w14:paraId="60E6106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⑥提出质疑的日期以及质疑人代表联系方式，至少包括：姓名、手机、电子信箱、邮寄地址等。</w:t>
      </w:r>
    </w:p>
    <w:p w14:paraId="1AE2CC2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20.2对不符合前文第20.1条规定的质疑，采购人或采购代理机构将按照下列规定进行处理：</w:t>
      </w:r>
    </w:p>
    <w:p w14:paraId="0FB35A36">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20.2.1超过质疑时效提交的或者质疑人不是参与所质疑项目采购活动的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，书面告知质疑人其质疑不成立的原因和理由。</w:t>
      </w:r>
    </w:p>
    <w:p w14:paraId="475071C4">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20.2.2质疑函内容不符合规定的，告知质疑人修改、补充后在政府采购法及实施条例规定的时效内重新提交质疑函原件。质疑人拒不修改或补充的，则采购人或采购代理机构应当在质疑答复期内书面告知对方质疑不成立的原因和理由。</w:t>
      </w:r>
    </w:p>
    <w:p w14:paraId="148380CA">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20.2.3质疑人修改、补充质疑函超过质疑时效提交的按20.2.1款处理。</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提交质疑函时，要认真阅读本章第20条关于质疑的相关规定，以免内容或资料不齐，需要修改补充而延误时间。</w:t>
      </w:r>
    </w:p>
    <w:p w14:paraId="45B54C8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20.3对符合前文第20.1条规定的质疑，采购人或采购代理机构将按照政府采购法及实施条例的有关规定进行答复。</w:t>
      </w:r>
    </w:p>
    <w:p w14:paraId="4CD6E94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21.投诉</w:t>
      </w:r>
    </w:p>
    <w:p w14:paraId="220883A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21.1若对质疑答复不满意或质疑答复未在答复期限内作出，质疑人可在答复期限届满之日起15个工作日内向磋商文件中载明的监督管理部门投诉。</w:t>
      </w:r>
    </w:p>
    <w:p w14:paraId="419AFF7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21.2投诉应有明确的请求和必要的证明材料，投诉的事项不得超出已质疑事项的范围。</w:t>
      </w:r>
    </w:p>
    <w:p w14:paraId="75C6207D">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七、有关信息公告和监督部门</w:t>
      </w:r>
    </w:p>
    <w:p w14:paraId="456A842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22.政府采购信息公告媒体</w:t>
      </w:r>
    </w:p>
    <w:p w14:paraId="3E533FC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22.1本项目的有关信息，包括但不限于采购公告、更正公告（若有）、磋商文件、磋商文件的澄清或修改（若有）、成交公告、终止公告（若有）、废标公告（若有）等都将在磋商文件载明的指定媒体发布。潜在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务必随时关注，以免遗漏。</w:t>
      </w:r>
    </w:p>
    <w:p w14:paraId="20518C1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22.2信息公告指定媒体：详见竞争性磋商须知前附表第10项。</w:t>
      </w:r>
    </w:p>
    <w:p w14:paraId="4D26E1DC">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23.监督管理部门</w:t>
      </w:r>
    </w:p>
    <w:p w14:paraId="7D8A75C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23.1磋商采购活动的监督管理部门详见竞争性磋商须知前附表第11项。</w:t>
      </w:r>
    </w:p>
    <w:p w14:paraId="524ED5D1">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八、政府采购政策</w:t>
      </w:r>
    </w:p>
    <w:p w14:paraId="3B19A27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24、政府采购政策由财政部根据国家的经济和社会发展政策并会同国家有关部委制定，包括但不限于下列管理办法或措施：</w:t>
      </w:r>
    </w:p>
    <w:p w14:paraId="31072C5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24.1进口产品指通过中国海关报关验放进入中国境内且产自关境外的产品，其中：</w:t>
      </w:r>
    </w:p>
    <w:p w14:paraId="0827F45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156CE5E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（2）凡在海关特殊监管区域内企业生产或加工（包括从境外进口料件）销往境内其他地区的产品，不作为政府采购项下进口产品。</w:t>
      </w:r>
    </w:p>
    <w:p w14:paraId="2D5BACE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（3）对从境外进入海关特殊监管区域，再经办理报关手续后从海关特殊监管区进入境内其他地区的产品，认定为进口产品。</w:t>
      </w:r>
    </w:p>
    <w:p w14:paraId="7E65ABB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（4）磋商文件列明不允许或未列明允许进口产品参加报价的，均视为拒绝进口产品参加报价。</w:t>
      </w:r>
    </w:p>
    <w:p w14:paraId="031A05B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1638677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16CEEE9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（1）中小企业指符合下列条件的中型、小型、微型企业：</w:t>
      </w:r>
    </w:p>
    <w:p w14:paraId="15187A5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2D72781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②符合中小企业划分标准的个体工商户，在政府采购活动中视同中小企业。</w:t>
      </w:r>
    </w:p>
    <w:p w14:paraId="7EB4A53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（2）在政府采购活动中，</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提供的货物、工程或者服务符合下列情形的，享受本办法规定的中小企业扶持政策：</w:t>
      </w:r>
    </w:p>
    <w:p w14:paraId="1BBC284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①在货物采购项目中，货物由中小企业制造，即货物由中小企业生产且使用该中小企业商号或者注册商标；</w:t>
      </w:r>
    </w:p>
    <w:p w14:paraId="58971EC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②在工程采购项目中，工程由中小企业承建，即工程施工单位为中小企业；</w:t>
      </w:r>
    </w:p>
    <w:p w14:paraId="40B85AE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③在服务采购项目中，服务由中小企业承接，即提供服务的人员为中小企业依照《中华人民共和国劳动合同法》 订立劳动合同的从业人员。</w:t>
      </w:r>
    </w:p>
    <w:p w14:paraId="6CD043A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在货物采购项目中，</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提供的货物既有中小企业制造货物，也有大型企业制造货物的，不享受本办法规定的中小企业扶持政策。</w:t>
      </w:r>
    </w:p>
    <w:p w14:paraId="026CE43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以联合体形式参加政府采购活动，联合体各方均为中小企业的，联合体视同中小企业。其中，联合体各方均为小微企业的，联合体视同小微企业。</w:t>
      </w:r>
    </w:p>
    <w:p w14:paraId="2D6A3B0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应当按照磋商文件明确的采购标的对应行业的划分标准出具中小企业声明函。</w:t>
      </w:r>
    </w:p>
    <w:p w14:paraId="3A6D0CA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47AEACB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3505E1C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①监狱企业参加采购活动时，应提供由省级以上监狱管理局、戒毒管理局（含新疆生产建设兵团）出具的属于监狱企业的证明文件。</w:t>
      </w:r>
    </w:p>
    <w:p w14:paraId="0568776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②监狱企业视同小型、微型企业。</w:t>
      </w:r>
    </w:p>
    <w:p w14:paraId="24A870C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（5）残疾人福利性单位指同时符合下列条件的单位：</w:t>
      </w:r>
    </w:p>
    <w:p w14:paraId="2ED87C2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①安置的残疾人占本单位在职职工人数的比例不低于25%（含25%），并且安置的残疾人人数不少于10人（含10人）；</w:t>
      </w:r>
    </w:p>
    <w:p w14:paraId="5B4EE9F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②依法与安置的每位残疾人签订了一年以上（含一年）的劳动合同或服务协议；</w:t>
      </w:r>
    </w:p>
    <w:p w14:paraId="0709351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③为安置的每位残疾人按月足额缴纳了基本养老保险、基本医疗保险、失业保险、工伤保险和生育保险等社会保险费；</w:t>
      </w:r>
    </w:p>
    <w:p w14:paraId="0128016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④通过银行等金融机构向安置的每位残疾人，按月支付了不低于单位所在区县适用的经省级人民政府批准的月最低工资标准的工资；</w:t>
      </w:r>
    </w:p>
    <w:p w14:paraId="0F12910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⑤提供本单位制造的货物、承担的工程或服务，或提供其他残疾人福利性单位制造的货物（不包括使用非残疾人福利性单位注册商标的货物）。</w:t>
      </w:r>
    </w:p>
    <w:p w14:paraId="626C587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31D2B3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38CED1A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24.4</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按采购文件约定进行工程设计、施工，并采购或使用符合《绿色建筑和绿色建材政府采购需求标准》要求的绿色建材。</w:t>
      </w:r>
    </w:p>
    <w:p w14:paraId="6A6B0E0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24.5信用记录指由财政部确定的有关网站提供的相关主体信用信息。信用记录的查询及使用应符合财政部文件（财库[2016]125号）规定。</w:t>
      </w:r>
    </w:p>
    <w:p w14:paraId="1023F2A4">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九、根据采购项目特点或政策需要补充的其他内容</w:t>
      </w:r>
    </w:p>
    <w:p w14:paraId="17D7B77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25.履约保证金</w:t>
      </w:r>
    </w:p>
    <w:p w14:paraId="5072EEB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25.1采购人可以根据项目特点和需要，确定是否要求成交人在合同签订前，按照磋商文件规定的时间、形式、金额提交履约保证金，履约保证金的数额不超过中标合同金额的10%。</w:t>
      </w:r>
    </w:p>
    <w:p w14:paraId="6A77BF8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25.2磋商文件要求在合同签订前提交履约保证金，如果成交人无故拖延或者拒不提交履约保证金的，则视为成交人拒绝与采购人签订合同，该成交人将承担违法行为的法律责任。</w:t>
      </w:r>
    </w:p>
    <w:p w14:paraId="62052FC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26.其他新增内容：</w:t>
      </w:r>
    </w:p>
    <w:p w14:paraId="70959FC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26.1根据采购项目特点或政策需要补充的其他新增内容详见竞争性磋商须知前附表第12项。</w:t>
      </w:r>
    </w:p>
    <w:p w14:paraId="4A70AAB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26.2本项目中如涉及商品包装和快递包装的，其包装需求标准应不低于《关于印发〈商品包装政府采购需求标准(试行)〉、〈快递包装政府采购需求标准(试行)〉的通知》（财办库〔2020〕 123号）规定的包装要求，其他包装需求详见采购文件具体规定。采购人、成交人双方签订合同及验收环节，应包含上述包装要求的条款。</w:t>
      </w:r>
    </w:p>
    <w:p w14:paraId="36A8206A">
      <w:pPr>
        <w:pStyle w:val="28"/>
        <w:pageBreakBefore w:val="0"/>
        <w:kinsoku/>
        <w:wordWrap/>
        <w:overflowPunct/>
        <w:topLinePunct w:val="0"/>
        <w:bidi w:val="0"/>
        <w:spacing w:line="400" w:lineRule="exact"/>
        <w:textAlignment w:val="auto"/>
        <w:rPr>
          <w:highlight w:val="none"/>
        </w:rPr>
      </w:pPr>
      <w:r>
        <w:rPr>
          <w:highlight w:val="none"/>
        </w:rPr>
        <w:t xml:space="preserve"> </w:t>
      </w:r>
      <w:r>
        <w:rPr>
          <w:highlight w:val="none"/>
        </w:rPr>
        <w:br w:type="textWrapping"/>
      </w:r>
      <w:r>
        <w:rPr>
          <w:highlight w:val="none"/>
        </w:rPr>
        <w:br w:type="page"/>
      </w:r>
    </w:p>
    <w:p w14:paraId="7C8B5E87">
      <w:pPr>
        <w:pStyle w:val="28"/>
        <w:pageBreakBefore w:val="0"/>
        <w:kinsoku/>
        <w:wordWrap/>
        <w:overflowPunct/>
        <w:topLinePunct w:val="0"/>
        <w:bidi w:val="0"/>
        <w:spacing w:line="400" w:lineRule="exact"/>
        <w:jc w:val="center"/>
        <w:textAlignment w:val="auto"/>
        <w:outlineLvl w:val="0"/>
        <w:rPr>
          <w:highlight w:val="none"/>
        </w:rPr>
      </w:pPr>
      <w:bookmarkStart w:id="14" w:name="_Toc30941"/>
      <w:r>
        <w:rPr>
          <w:b/>
          <w:sz w:val="36"/>
          <w:highlight w:val="none"/>
        </w:rPr>
        <w:t>第三章 采购内容及要求</w:t>
      </w:r>
      <w:bookmarkEnd w:id="14"/>
    </w:p>
    <w:p w14:paraId="19926A71">
      <w:pPr>
        <w:pStyle w:val="3"/>
        <w:pageBreakBefore w:val="0"/>
        <w:kinsoku/>
        <w:wordWrap/>
        <w:overflowPunct/>
        <w:topLinePunct w:val="0"/>
        <w:bidi w:val="0"/>
        <w:spacing w:line="400" w:lineRule="exact"/>
        <w:ind w:left="0" w:leftChars="0" w:firstLine="0" w:firstLineChars="0"/>
        <w:textAlignment w:val="auto"/>
        <w:rPr>
          <w:rFonts w:hint="eastAsia"/>
          <w:sz w:val="24"/>
          <w:szCs w:val="24"/>
          <w:highlight w:val="none"/>
          <w:lang w:val="en-US" w:eastAsia="zh-CN"/>
        </w:rPr>
      </w:pPr>
      <w:r>
        <w:rPr>
          <w:rFonts w:hint="eastAsia"/>
          <w:sz w:val="24"/>
          <w:szCs w:val="24"/>
          <w:highlight w:val="none"/>
          <w:lang w:val="en-US" w:eastAsia="zh-CN"/>
        </w:rPr>
        <w:t>一、项目概况</w:t>
      </w:r>
    </w:p>
    <w:p w14:paraId="43748836">
      <w:pPr>
        <w:pageBreakBefore w:val="0"/>
        <w:numPr>
          <w:ilvl w:val="0"/>
          <w:numId w:val="4"/>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工程名称：</w:t>
      </w:r>
      <w:r>
        <w:rPr>
          <w:rFonts w:hint="eastAsia" w:asciiTheme="minorEastAsia" w:hAnsiTheme="minorEastAsia" w:eastAsiaTheme="minorEastAsia" w:cstheme="minorEastAsia"/>
          <w:color w:val="auto"/>
          <w:sz w:val="24"/>
          <w:szCs w:val="24"/>
          <w:highlight w:val="none"/>
          <w:lang w:eastAsia="zh-CN"/>
        </w:rPr>
        <w:t>上海儿童医学中心福建医院——国家区域医疗中心建设项目（二期）方案及初步设计</w:t>
      </w:r>
      <w:bookmarkStart w:id="28" w:name="_GoBack"/>
      <w:bookmarkEnd w:id="28"/>
      <w:r>
        <w:rPr>
          <w:rFonts w:hint="eastAsia" w:asciiTheme="minorEastAsia" w:hAnsiTheme="minorEastAsia" w:eastAsiaTheme="minorEastAsia" w:cstheme="minorEastAsia"/>
          <w:color w:val="auto"/>
          <w:sz w:val="24"/>
          <w:szCs w:val="24"/>
          <w:highlight w:val="none"/>
        </w:rPr>
        <w:t>。</w:t>
      </w:r>
    </w:p>
    <w:p w14:paraId="3A0F1E01">
      <w:pPr>
        <w:pageBreakBefore w:val="0"/>
        <w:numPr>
          <w:ilvl w:val="0"/>
          <w:numId w:val="4"/>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工程地点：福建省福州市晋安区鼓山镇横屿路966号福建省儿童医院。</w:t>
      </w:r>
    </w:p>
    <w:p w14:paraId="69770822">
      <w:pPr>
        <w:pageBreakBefore w:val="0"/>
        <w:numPr>
          <w:ilvl w:val="0"/>
          <w:numId w:val="4"/>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包括为完成基建提升专项工程设计的建筑方案、初步设计及概算编制等；其中初步设计包括但不限于建筑、结构、给排水、电气、暖通、消防、智能化、医疗气体等</w:t>
      </w:r>
      <w:r>
        <w:rPr>
          <w:rFonts w:hint="eastAsia" w:asciiTheme="minorEastAsia" w:hAnsiTheme="minorEastAsia" w:eastAsiaTheme="minorEastAsia" w:cstheme="minorEastAsia"/>
          <w:color w:val="auto"/>
          <w:sz w:val="24"/>
          <w:szCs w:val="24"/>
          <w:highlight w:val="none"/>
          <w:lang w:val="en-US" w:eastAsia="zh-CN"/>
        </w:rPr>
        <w:t>及</w:t>
      </w:r>
      <w:r>
        <w:rPr>
          <w:rFonts w:hint="eastAsia" w:asciiTheme="minorEastAsia" w:hAnsiTheme="minorEastAsia" w:eastAsiaTheme="minorEastAsia" w:cstheme="minorEastAsia"/>
          <w:color w:val="auto"/>
          <w:sz w:val="24"/>
          <w:szCs w:val="24"/>
          <w:highlight w:val="none"/>
          <w:lang w:eastAsia="zh-CN"/>
        </w:rPr>
        <w:t>医疗设备专项</w:t>
      </w:r>
      <w:r>
        <w:rPr>
          <w:rFonts w:hint="eastAsia" w:asciiTheme="minorEastAsia" w:hAnsiTheme="minorEastAsia" w:eastAsiaTheme="minorEastAsia" w:cstheme="minorEastAsia"/>
          <w:color w:val="auto"/>
          <w:sz w:val="24"/>
          <w:szCs w:val="24"/>
          <w:highlight w:val="none"/>
          <w:lang w:val="en-US" w:eastAsia="zh-CN"/>
        </w:rPr>
        <w:t>初步设计方案编制</w:t>
      </w:r>
      <w:r>
        <w:rPr>
          <w:rFonts w:hint="eastAsia" w:asciiTheme="minorEastAsia" w:hAnsiTheme="minorEastAsia" w:eastAsiaTheme="minorEastAsia" w:cstheme="minorEastAsia"/>
          <w:color w:val="auto"/>
          <w:sz w:val="24"/>
          <w:szCs w:val="24"/>
          <w:highlight w:val="none"/>
          <w:lang w:eastAsia="zh-CN"/>
        </w:rPr>
        <w:t>、信息化专项</w:t>
      </w:r>
      <w:r>
        <w:rPr>
          <w:rFonts w:hint="eastAsia" w:asciiTheme="minorEastAsia" w:hAnsiTheme="minorEastAsia" w:eastAsiaTheme="minorEastAsia" w:cstheme="minorEastAsia"/>
          <w:color w:val="auto"/>
          <w:sz w:val="24"/>
          <w:szCs w:val="24"/>
          <w:highlight w:val="none"/>
          <w:lang w:val="en-US" w:eastAsia="zh-CN"/>
        </w:rPr>
        <w:t>初步设计方案编制</w:t>
      </w:r>
      <w:r>
        <w:rPr>
          <w:rFonts w:hint="eastAsia" w:asciiTheme="minorEastAsia" w:hAnsiTheme="minorEastAsia" w:eastAsiaTheme="minorEastAsia" w:cstheme="minorEastAsia"/>
          <w:color w:val="auto"/>
          <w:sz w:val="24"/>
          <w:szCs w:val="24"/>
          <w:highlight w:val="none"/>
          <w:lang w:eastAsia="zh-CN"/>
        </w:rPr>
        <w:t>。</w:t>
      </w:r>
    </w:p>
    <w:p w14:paraId="1C6CCF82">
      <w:pPr>
        <w:pStyle w:val="3"/>
        <w:pageBreakBefore w:val="0"/>
        <w:kinsoku/>
        <w:wordWrap/>
        <w:overflowPunct/>
        <w:topLinePunct w:val="0"/>
        <w:bidi w:val="0"/>
        <w:spacing w:line="400" w:lineRule="exact"/>
        <w:ind w:left="0" w:leftChars="0" w:firstLine="0" w:firstLineChars="0"/>
        <w:textAlignment w:val="auto"/>
        <w:rPr>
          <w:rFonts w:hint="eastAsia"/>
          <w:sz w:val="24"/>
          <w:szCs w:val="24"/>
          <w:highlight w:val="none"/>
          <w:lang w:val="en-US" w:eastAsia="zh-CN"/>
        </w:rPr>
      </w:pPr>
      <w:r>
        <w:rPr>
          <w:rFonts w:hint="eastAsia"/>
          <w:sz w:val="24"/>
          <w:szCs w:val="24"/>
          <w:highlight w:val="none"/>
          <w:lang w:val="en-US" w:eastAsia="zh-CN"/>
        </w:rPr>
        <w:t>二、基建提升专项工程各专业设计方案</w:t>
      </w:r>
    </w:p>
    <w:p w14:paraId="43592DE2">
      <w:pPr>
        <w:pageBreakBefore w:val="0"/>
        <w:kinsoku/>
        <w:wordWrap/>
        <w:overflowPunct/>
        <w:topLinePunct w:val="0"/>
        <w:bidi w:val="0"/>
        <w:spacing w:line="400" w:lineRule="exact"/>
        <w:textAlignment w:val="auto"/>
        <w:outlineLvl w:val="2"/>
        <w:rPr>
          <w:rFonts w:hint="eastAsia" w:asciiTheme="minorEastAsia" w:hAnsiTheme="minorEastAsia" w:eastAsiaTheme="minorEastAsia" w:cstheme="minorEastAsia"/>
          <w:b/>
          <w:color w:val="auto"/>
          <w:sz w:val="24"/>
          <w:szCs w:val="24"/>
          <w:highlight w:val="none"/>
        </w:rPr>
      </w:pPr>
      <w:bookmarkStart w:id="15" w:name="_Toc98605179"/>
      <w:r>
        <w:rPr>
          <w:rFonts w:hint="eastAsia" w:asciiTheme="minorEastAsia" w:hAnsiTheme="minorEastAsia" w:eastAsiaTheme="minorEastAsia" w:cstheme="minorEastAsia"/>
          <w:b/>
          <w:color w:val="auto"/>
          <w:sz w:val="24"/>
          <w:szCs w:val="24"/>
          <w:highlight w:val="none"/>
          <w:lang w:val="en-US" w:eastAsia="zh-CN"/>
        </w:rPr>
        <w:t>1.</w:t>
      </w:r>
      <w:r>
        <w:rPr>
          <w:rFonts w:hint="eastAsia" w:asciiTheme="minorEastAsia" w:hAnsiTheme="minorEastAsia" w:eastAsiaTheme="minorEastAsia" w:cstheme="minorEastAsia"/>
          <w:b/>
          <w:color w:val="auto"/>
          <w:sz w:val="24"/>
          <w:szCs w:val="24"/>
          <w:highlight w:val="none"/>
        </w:rPr>
        <w:t>建筑</w:t>
      </w:r>
      <w:bookmarkEnd w:id="15"/>
    </w:p>
    <w:p w14:paraId="42D17FE2">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eastAsia="zh"/>
        </w:rPr>
      </w:pPr>
      <w:r>
        <w:rPr>
          <w:rFonts w:hint="eastAsia" w:asciiTheme="minorEastAsia" w:hAnsiTheme="minorEastAsia" w:eastAsiaTheme="minorEastAsia" w:cstheme="minorEastAsia"/>
          <w:color w:val="auto"/>
          <w:sz w:val="24"/>
          <w:szCs w:val="24"/>
          <w:highlight w:val="none"/>
          <w:lang w:eastAsia="zh"/>
        </w:rPr>
        <w:t>1</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
        </w:rPr>
        <w:t>设计依据</w:t>
      </w:r>
    </w:p>
    <w:p w14:paraId="4E8811B9">
      <w:pPr>
        <w:pageBreakBefore w:val="0"/>
        <w:numPr>
          <w:ilvl w:val="0"/>
          <w:numId w:val="5"/>
        </w:numPr>
        <w:tabs>
          <w:tab w:val="left" w:pos="720"/>
          <w:tab w:val="clear" w:pos="0"/>
        </w:tabs>
        <w:kinsoku/>
        <w:wordWrap/>
        <w:overflowPunct/>
        <w:topLinePunct w:val="0"/>
        <w:bidi w:val="0"/>
        <w:spacing w:line="400" w:lineRule="exact"/>
        <w:ind w:left="567"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《综合医院建筑设计规范》（GB51039-2014）；</w:t>
      </w:r>
    </w:p>
    <w:p w14:paraId="23FCC73F">
      <w:pPr>
        <w:pageBreakBefore w:val="0"/>
        <w:numPr>
          <w:ilvl w:val="0"/>
          <w:numId w:val="5"/>
        </w:numPr>
        <w:tabs>
          <w:tab w:val="left" w:pos="720"/>
          <w:tab w:val="clear" w:pos="0"/>
        </w:tabs>
        <w:kinsoku/>
        <w:wordWrap/>
        <w:overflowPunct/>
        <w:topLinePunct w:val="0"/>
        <w:bidi w:val="0"/>
        <w:spacing w:line="400" w:lineRule="exact"/>
        <w:ind w:left="567"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《儿童医院建设标准》（建标174-2016）</w:t>
      </w:r>
      <w:r>
        <w:rPr>
          <w:rFonts w:hint="eastAsia" w:asciiTheme="minorEastAsia" w:hAnsiTheme="minorEastAsia" w:eastAsiaTheme="minorEastAsia" w:cstheme="minorEastAsia"/>
          <w:color w:val="auto"/>
          <w:sz w:val="24"/>
          <w:szCs w:val="24"/>
          <w:highlight w:val="none"/>
          <w:lang w:eastAsia="zh-CN"/>
        </w:rPr>
        <w:t>；</w:t>
      </w:r>
    </w:p>
    <w:p w14:paraId="636E7052">
      <w:pPr>
        <w:pageBreakBefore w:val="0"/>
        <w:numPr>
          <w:ilvl w:val="0"/>
          <w:numId w:val="5"/>
        </w:numPr>
        <w:tabs>
          <w:tab w:val="left" w:pos="720"/>
          <w:tab w:val="clear" w:pos="0"/>
        </w:tabs>
        <w:kinsoku/>
        <w:wordWrap/>
        <w:overflowPunct/>
        <w:topLinePunct w:val="0"/>
        <w:bidi w:val="0"/>
        <w:spacing w:line="400" w:lineRule="exact"/>
        <w:ind w:left="567"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《综合医院建设标准》（建标110-2021）；</w:t>
      </w:r>
    </w:p>
    <w:p w14:paraId="69FE08DA">
      <w:pPr>
        <w:pageBreakBefore w:val="0"/>
        <w:numPr>
          <w:ilvl w:val="0"/>
          <w:numId w:val="5"/>
        </w:numPr>
        <w:tabs>
          <w:tab w:val="left" w:pos="720"/>
          <w:tab w:val="clear" w:pos="0"/>
        </w:tabs>
        <w:kinsoku/>
        <w:wordWrap/>
        <w:overflowPunct/>
        <w:topLinePunct w:val="0"/>
        <w:bidi w:val="0"/>
        <w:spacing w:line="400" w:lineRule="exact"/>
        <w:ind w:left="567"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《民用建筑设计统一标准》（GB50352-2019）；</w:t>
      </w:r>
    </w:p>
    <w:p w14:paraId="20C878AF">
      <w:pPr>
        <w:pageBreakBefore w:val="0"/>
        <w:numPr>
          <w:ilvl w:val="0"/>
          <w:numId w:val="5"/>
        </w:numPr>
        <w:tabs>
          <w:tab w:val="left" w:pos="720"/>
          <w:tab w:val="clear" w:pos="0"/>
        </w:tabs>
        <w:kinsoku/>
        <w:wordWrap/>
        <w:overflowPunct/>
        <w:topLinePunct w:val="0"/>
        <w:bidi w:val="0"/>
        <w:spacing w:line="400" w:lineRule="exact"/>
        <w:ind w:left="567"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《无障碍设计规范》（GB50763-2012）；</w:t>
      </w:r>
    </w:p>
    <w:p w14:paraId="7AE9AF22">
      <w:pPr>
        <w:pageBreakBefore w:val="0"/>
        <w:numPr>
          <w:ilvl w:val="0"/>
          <w:numId w:val="5"/>
        </w:numPr>
        <w:tabs>
          <w:tab w:val="left" w:pos="720"/>
          <w:tab w:val="clear" w:pos="0"/>
        </w:tabs>
        <w:kinsoku/>
        <w:wordWrap/>
        <w:overflowPunct/>
        <w:topLinePunct w:val="0"/>
        <w:bidi w:val="0"/>
        <w:spacing w:line="400" w:lineRule="exact"/>
        <w:ind w:left="567"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《建筑与市政工程无障碍通用规范》（GB55019-2021）；</w:t>
      </w:r>
    </w:p>
    <w:p w14:paraId="40AF1755">
      <w:pPr>
        <w:pageBreakBefore w:val="0"/>
        <w:numPr>
          <w:ilvl w:val="0"/>
          <w:numId w:val="5"/>
        </w:numPr>
        <w:tabs>
          <w:tab w:val="left" w:pos="720"/>
          <w:tab w:val="clear" w:pos="0"/>
        </w:tabs>
        <w:kinsoku/>
        <w:wordWrap/>
        <w:overflowPunct/>
        <w:topLinePunct w:val="0"/>
        <w:bidi w:val="0"/>
        <w:spacing w:line="400" w:lineRule="exact"/>
        <w:ind w:left="567"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《建筑防火通用规范》（GB55037-2022）；</w:t>
      </w:r>
    </w:p>
    <w:p w14:paraId="6A326F73">
      <w:pPr>
        <w:pageBreakBefore w:val="0"/>
        <w:numPr>
          <w:ilvl w:val="0"/>
          <w:numId w:val="5"/>
        </w:numPr>
        <w:tabs>
          <w:tab w:val="left" w:pos="720"/>
          <w:tab w:val="clear" w:pos="0"/>
        </w:tabs>
        <w:kinsoku/>
        <w:wordWrap/>
        <w:overflowPunct/>
        <w:topLinePunct w:val="0"/>
        <w:bidi w:val="0"/>
        <w:spacing w:line="400" w:lineRule="exact"/>
        <w:ind w:left="567"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《建筑内部装修设计防火规范》 GB 50222-2017</w:t>
      </w:r>
    </w:p>
    <w:p w14:paraId="66C7CF9C">
      <w:pPr>
        <w:pageBreakBefore w:val="0"/>
        <w:numPr>
          <w:ilvl w:val="0"/>
          <w:numId w:val="5"/>
        </w:numPr>
        <w:tabs>
          <w:tab w:val="left" w:pos="720"/>
          <w:tab w:val="clear" w:pos="0"/>
        </w:tabs>
        <w:kinsoku/>
        <w:wordWrap/>
        <w:overflowPunct/>
        <w:topLinePunct w:val="0"/>
        <w:bidi w:val="0"/>
        <w:spacing w:line="400" w:lineRule="exact"/>
        <w:ind w:left="567"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其余现行的国家和地方规范、规程及规定。</w:t>
      </w:r>
    </w:p>
    <w:p w14:paraId="68960F32">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eastAsia="zh"/>
        </w:rPr>
      </w:pPr>
      <w:r>
        <w:rPr>
          <w:rFonts w:hint="eastAsia" w:asciiTheme="minorEastAsia" w:hAnsiTheme="minorEastAsia" w:eastAsiaTheme="minorEastAsia" w:cstheme="minorEastAsia"/>
          <w:color w:val="auto"/>
          <w:sz w:val="24"/>
          <w:szCs w:val="24"/>
          <w:highlight w:val="none"/>
          <w:lang w:eastAsia="zh"/>
        </w:rPr>
        <w:t>1</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eastAsia="zh"/>
        </w:rPr>
        <w:t>工程概况</w:t>
      </w:r>
    </w:p>
    <w:p w14:paraId="091FC3F1">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
        </w:rPr>
      </w:pPr>
      <w:r>
        <w:rPr>
          <w:rFonts w:hint="eastAsia" w:asciiTheme="minorEastAsia" w:hAnsiTheme="minorEastAsia" w:eastAsiaTheme="minorEastAsia" w:cstheme="minorEastAsia"/>
          <w:color w:val="auto"/>
          <w:sz w:val="24"/>
          <w:szCs w:val="24"/>
          <w:highlight w:val="none"/>
        </w:rPr>
        <w:t>建设</w:t>
      </w:r>
      <w:r>
        <w:rPr>
          <w:rFonts w:hint="eastAsia" w:asciiTheme="minorEastAsia" w:hAnsiTheme="minorEastAsia" w:eastAsiaTheme="minorEastAsia" w:cstheme="minorEastAsia"/>
          <w:color w:val="auto"/>
          <w:sz w:val="24"/>
          <w:szCs w:val="24"/>
          <w:highlight w:val="none"/>
          <w:lang w:val="en-US" w:eastAsia="zh-CN"/>
        </w:rPr>
        <w:t>转化中心</w:t>
      </w:r>
      <w:r>
        <w:rPr>
          <w:rFonts w:hint="eastAsia" w:asciiTheme="minorEastAsia" w:hAnsiTheme="minorEastAsia" w:eastAsiaTheme="minorEastAsia" w:cstheme="minorEastAsia"/>
          <w:color w:val="auto"/>
          <w:sz w:val="24"/>
          <w:szCs w:val="24"/>
          <w:highlight w:val="none"/>
        </w:rPr>
        <w:t>。选址位于福建省儿童医院</w:t>
      </w:r>
      <w:r>
        <w:rPr>
          <w:rFonts w:hint="eastAsia" w:asciiTheme="minorEastAsia" w:hAnsiTheme="minorEastAsia" w:eastAsiaTheme="minorEastAsia" w:cstheme="minorEastAsia"/>
          <w:color w:val="auto"/>
          <w:sz w:val="24"/>
          <w:szCs w:val="24"/>
          <w:highlight w:val="none"/>
          <w:lang w:eastAsia="zh"/>
        </w:rPr>
        <w:t>；</w:t>
      </w:r>
      <w:r>
        <w:rPr>
          <w:rFonts w:hint="eastAsia" w:asciiTheme="minorEastAsia" w:hAnsiTheme="minorEastAsia" w:eastAsiaTheme="minorEastAsia" w:cstheme="minorEastAsia"/>
          <w:color w:val="auto"/>
          <w:sz w:val="24"/>
          <w:szCs w:val="24"/>
          <w:highlight w:val="none"/>
        </w:rPr>
        <w:t>行政科研楼</w:t>
      </w:r>
      <w:r>
        <w:rPr>
          <w:rFonts w:hint="eastAsia" w:asciiTheme="minorEastAsia" w:hAnsiTheme="minorEastAsia" w:eastAsiaTheme="minorEastAsia" w:cstheme="minorEastAsia"/>
          <w:color w:val="auto"/>
          <w:sz w:val="24"/>
          <w:szCs w:val="24"/>
          <w:highlight w:val="none"/>
          <w:lang w:val="en-US" w:eastAsia="zh-CN"/>
        </w:rPr>
        <w:t>五</w:t>
      </w:r>
      <w:r>
        <w:rPr>
          <w:rFonts w:hint="eastAsia" w:asciiTheme="minorEastAsia" w:hAnsiTheme="minorEastAsia" w:eastAsiaTheme="minorEastAsia" w:cstheme="minorEastAsia"/>
          <w:color w:val="auto"/>
          <w:sz w:val="24"/>
          <w:szCs w:val="24"/>
          <w:highlight w:val="none"/>
        </w:rPr>
        <w:t>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左侧</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，其中</w:t>
      </w:r>
      <w:r>
        <w:rPr>
          <w:rFonts w:hint="eastAsia" w:asciiTheme="minorEastAsia" w:hAnsiTheme="minorEastAsia" w:eastAsiaTheme="minorEastAsia" w:cstheme="minorEastAsia"/>
          <w:color w:val="auto"/>
          <w:sz w:val="24"/>
          <w:szCs w:val="24"/>
          <w:highlight w:val="none"/>
          <w:lang w:val="en-US" w:eastAsia="zh-CN"/>
        </w:rPr>
        <w:t>GMP</w:t>
      </w:r>
      <w:r>
        <w:rPr>
          <w:rFonts w:hint="eastAsia" w:asciiTheme="minorEastAsia" w:hAnsiTheme="minorEastAsia" w:eastAsiaTheme="minorEastAsia" w:cstheme="minorEastAsia"/>
          <w:color w:val="auto"/>
          <w:sz w:val="24"/>
          <w:szCs w:val="24"/>
          <w:highlight w:val="none"/>
        </w:rPr>
        <w:t>重点实验区</w:t>
      </w:r>
      <w:r>
        <w:rPr>
          <w:rFonts w:hint="eastAsia" w:asciiTheme="minorEastAsia" w:hAnsiTheme="minorEastAsia" w:eastAsiaTheme="minorEastAsia" w:cstheme="minorEastAsia"/>
          <w:color w:val="auto"/>
          <w:sz w:val="24"/>
          <w:szCs w:val="24"/>
          <w:highlight w:val="none"/>
          <w:lang w:val="en-US" w:eastAsia="zh-CN"/>
        </w:rPr>
        <w:t>（儿童肠道微生态菌群平台、儿童遗传病诱导多能干细胞平台、肿瘤类器官资源研发平台）</w:t>
      </w:r>
      <w:r>
        <w:rPr>
          <w:rFonts w:hint="eastAsia" w:asciiTheme="minorEastAsia" w:hAnsiTheme="minorEastAsia" w:eastAsiaTheme="minorEastAsia" w:cstheme="minorEastAsia"/>
          <w:color w:val="auto"/>
          <w:sz w:val="24"/>
          <w:szCs w:val="24"/>
          <w:highlight w:val="none"/>
        </w:rPr>
        <w:t>涉及提升的建筑面积为</w:t>
      </w:r>
      <w:r>
        <w:rPr>
          <w:rFonts w:hint="eastAsia" w:asciiTheme="minorEastAsia" w:hAnsiTheme="minorEastAsia" w:eastAsiaTheme="minorEastAsia" w:cstheme="minorEastAsia"/>
          <w:color w:val="auto"/>
          <w:sz w:val="24"/>
          <w:szCs w:val="24"/>
          <w:highlight w:val="none"/>
          <w:lang w:val="en-US" w:eastAsia="zh-CN"/>
        </w:rPr>
        <w:t>900</w:t>
      </w:r>
      <w:r>
        <w:rPr>
          <w:rFonts w:hint="eastAsia" w:asciiTheme="minorEastAsia" w:hAnsiTheme="minorEastAsia" w:eastAsiaTheme="minorEastAsia" w:cstheme="minorEastAsia"/>
          <w:color w:val="auto"/>
          <w:sz w:val="24"/>
          <w:szCs w:val="24"/>
          <w:highlight w:val="none"/>
        </w:rPr>
        <w:t>㎡。行政科研楼</w:t>
      </w:r>
      <w:r>
        <w:rPr>
          <w:rFonts w:hint="eastAsia" w:asciiTheme="minorEastAsia" w:hAnsiTheme="minorEastAsia" w:eastAsiaTheme="minorEastAsia" w:cstheme="minorEastAsia"/>
          <w:color w:val="auto"/>
          <w:sz w:val="24"/>
          <w:szCs w:val="24"/>
          <w:highlight w:val="none"/>
          <w:lang w:eastAsia="zh"/>
        </w:rPr>
        <w:t>四</w:t>
      </w:r>
      <w:r>
        <w:rPr>
          <w:rFonts w:hint="eastAsia" w:asciiTheme="minorEastAsia" w:hAnsiTheme="minorEastAsia" w:eastAsiaTheme="minorEastAsia" w:cstheme="minorEastAsia"/>
          <w:color w:val="auto"/>
          <w:sz w:val="24"/>
          <w:szCs w:val="24"/>
          <w:highlight w:val="none"/>
        </w:rPr>
        <w:t>层</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左侧</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中心实验室平台</w:t>
      </w:r>
      <w:r>
        <w:rPr>
          <w:rFonts w:hint="eastAsia" w:asciiTheme="minorEastAsia" w:hAnsiTheme="minorEastAsia" w:eastAsiaTheme="minorEastAsia" w:cstheme="minorEastAsia"/>
          <w:color w:val="auto"/>
          <w:sz w:val="24"/>
          <w:szCs w:val="24"/>
          <w:highlight w:val="none"/>
          <w:lang w:eastAsia="zh"/>
        </w:rPr>
        <w:t>80㎡。</w:t>
      </w:r>
    </w:p>
    <w:p w14:paraId="39A655B0">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eastAsia="zh"/>
        </w:rPr>
      </w:pPr>
      <w:r>
        <w:rPr>
          <w:rFonts w:hint="eastAsia" w:asciiTheme="minorEastAsia" w:hAnsiTheme="minorEastAsia" w:eastAsiaTheme="minorEastAsia" w:cstheme="minorEastAsia"/>
          <w:color w:val="auto"/>
          <w:sz w:val="24"/>
          <w:szCs w:val="24"/>
          <w:highlight w:val="none"/>
          <w:lang w:eastAsia="zh"/>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
        </w:rPr>
        <w:t>3设计范围</w:t>
      </w:r>
    </w:p>
    <w:p w14:paraId="3DC0B8C5">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本工程设计范围内移动家具、</w:t>
      </w:r>
      <w:r>
        <w:rPr>
          <w:rFonts w:hint="eastAsia" w:asciiTheme="minorEastAsia" w:hAnsiTheme="minorEastAsia" w:eastAsiaTheme="minorEastAsia" w:cstheme="minorEastAsia"/>
          <w:color w:val="auto"/>
          <w:sz w:val="24"/>
          <w:szCs w:val="24"/>
          <w:highlight w:val="none"/>
          <w:lang w:val="en-US" w:eastAsia="zh"/>
        </w:rPr>
        <w:t>生物安全柜、通风柜、</w:t>
      </w:r>
      <w:r>
        <w:rPr>
          <w:rFonts w:hint="eastAsia" w:asciiTheme="minorEastAsia" w:hAnsiTheme="minorEastAsia" w:eastAsiaTheme="minorEastAsia" w:cstheme="minorEastAsia"/>
          <w:color w:val="auto"/>
          <w:sz w:val="24"/>
          <w:szCs w:val="24"/>
          <w:highlight w:val="none"/>
          <w:lang w:val="en-US" w:eastAsia="zh-CN"/>
        </w:rPr>
        <w:t>实验设备等不在本次设计内。范围内的拆旧、</w:t>
      </w:r>
      <w:r>
        <w:rPr>
          <w:rFonts w:hint="eastAsia" w:asciiTheme="minorEastAsia" w:hAnsiTheme="minorEastAsia" w:eastAsiaTheme="minorEastAsia" w:cstheme="minorEastAsia"/>
          <w:color w:val="auto"/>
          <w:sz w:val="24"/>
          <w:szCs w:val="24"/>
          <w:highlight w:val="none"/>
          <w:lang w:val="en-US" w:eastAsia="zh"/>
        </w:rPr>
        <w:t>地面找平、</w:t>
      </w:r>
      <w:r>
        <w:rPr>
          <w:rFonts w:hint="eastAsia" w:asciiTheme="minorEastAsia" w:hAnsiTheme="minorEastAsia" w:eastAsiaTheme="minorEastAsia" w:cstheme="minorEastAsia"/>
          <w:color w:val="auto"/>
          <w:sz w:val="24"/>
          <w:szCs w:val="24"/>
          <w:highlight w:val="none"/>
          <w:lang w:val="en-US" w:eastAsia="zh-CN"/>
        </w:rPr>
        <w:t>轻质隔墙、墙面、地面、吊顶、门窗，固定</w:t>
      </w:r>
      <w:r>
        <w:rPr>
          <w:rFonts w:hint="eastAsia" w:asciiTheme="minorEastAsia" w:hAnsiTheme="minorEastAsia" w:eastAsiaTheme="minorEastAsia" w:cstheme="minorEastAsia"/>
          <w:color w:val="auto"/>
          <w:sz w:val="24"/>
          <w:szCs w:val="24"/>
          <w:highlight w:val="none"/>
          <w:lang w:val="en-US" w:eastAsia="zh"/>
        </w:rPr>
        <w:t>家具、实验台面、传递窗</w:t>
      </w:r>
      <w:r>
        <w:rPr>
          <w:rFonts w:hint="eastAsia" w:asciiTheme="minorEastAsia" w:hAnsiTheme="minorEastAsia" w:eastAsiaTheme="minorEastAsia" w:cstheme="minorEastAsia"/>
          <w:color w:val="auto"/>
          <w:sz w:val="24"/>
          <w:szCs w:val="24"/>
          <w:highlight w:val="none"/>
          <w:lang w:val="en-US" w:eastAsia="zh-CN"/>
        </w:rPr>
        <w:t>在本次设计范围内。</w:t>
      </w:r>
    </w:p>
    <w:p w14:paraId="04CBD98E">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eastAsia="zh"/>
        </w:rPr>
      </w:pPr>
      <w:r>
        <w:rPr>
          <w:rFonts w:hint="eastAsia" w:asciiTheme="minorEastAsia" w:hAnsiTheme="minorEastAsia" w:eastAsiaTheme="minorEastAsia" w:cstheme="minorEastAsia"/>
          <w:color w:val="auto"/>
          <w:sz w:val="24"/>
          <w:szCs w:val="24"/>
          <w:highlight w:val="none"/>
          <w:lang w:eastAsia="zh"/>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
        </w:rPr>
        <w:t>4技术经济指标</w:t>
      </w:r>
    </w:p>
    <w:p w14:paraId="501035DA">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
        </w:rPr>
        <w:t>本次改造范围约980㎡。</w:t>
      </w:r>
    </w:p>
    <w:p w14:paraId="5CB1F11F">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kern w:val="2"/>
          <w:sz w:val="24"/>
          <w:szCs w:val="24"/>
          <w:highlight w:val="none"/>
          <w:lang w:val="en-US" w:eastAsia="zh" w:bidi="ar"/>
        </w:rPr>
      </w:pPr>
      <w:r>
        <w:rPr>
          <w:rFonts w:hint="eastAsia" w:asciiTheme="minorEastAsia" w:hAnsiTheme="minorEastAsia" w:eastAsiaTheme="minorEastAsia" w:cstheme="minorEastAsia"/>
          <w:color w:val="auto"/>
          <w:sz w:val="24"/>
          <w:szCs w:val="24"/>
          <w:highlight w:val="none"/>
          <w:lang w:val="en-US" w:eastAsia="zh"/>
        </w:rPr>
        <w:t>包含：行政办公楼四层</w:t>
      </w:r>
      <w:r>
        <w:rPr>
          <w:rFonts w:hint="eastAsia" w:asciiTheme="minorEastAsia" w:hAnsiTheme="minorEastAsia" w:eastAsiaTheme="minorEastAsia" w:cstheme="minorEastAsia"/>
          <w:color w:val="auto"/>
          <w:sz w:val="24"/>
          <w:szCs w:val="24"/>
          <w:highlight w:val="none"/>
          <w:lang w:val="en-US" w:eastAsia="zh-CN"/>
        </w:rPr>
        <w:t>中心实验室平台</w:t>
      </w:r>
      <w:r>
        <w:rPr>
          <w:rFonts w:hint="eastAsia" w:asciiTheme="minorEastAsia" w:hAnsiTheme="minorEastAsia" w:eastAsiaTheme="minorEastAsia" w:cstheme="minorEastAsia"/>
          <w:color w:val="auto"/>
          <w:sz w:val="24"/>
          <w:szCs w:val="24"/>
          <w:highlight w:val="none"/>
          <w:lang w:val="en-US" w:eastAsia="zh"/>
        </w:rPr>
        <w:t>，面积约80㎡。行政办公楼五层GMP重点实验区，面积约900㎡；包含</w:t>
      </w:r>
      <w:r>
        <w:rPr>
          <w:rFonts w:hint="eastAsia" w:asciiTheme="minorEastAsia" w:hAnsiTheme="minorEastAsia" w:eastAsiaTheme="minorEastAsia" w:cstheme="minorEastAsia"/>
          <w:color w:val="auto"/>
          <w:sz w:val="24"/>
          <w:szCs w:val="24"/>
          <w:highlight w:val="none"/>
          <w:lang w:val="en-US" w:eastAsia="zh-CN"/>
        </w:rPr>
        <w:t>儿童肠道微生态菌群平台</w:t>
      </w:r>
      <w:r>
        <w:rPr>
          <w:rFonts w:hint="eastAsia" w:asciiTheme="minorEastAsia" w:hAnsiTheme="minorEastAsia" w:eastAsiaTheme="minorEastAsia" w:cstheme="minorEastAsia"/>
          <w:color w:val="auto"/>
          <w:sz w:val="24"/>
          <w:szCs w:val="24"/>
          <w:highlight w:val="none"/>
          <w:lang w:val="en-US" w:eastAsia="zh"/>
        </w:rPr>
        <w:t>（B级），功能房间有外包装暂存间、冷冻保存间、胶囊定型间、冻干间、前液制作间、肠菌库、清洗灭菌间、试剂间、胶囊制作间、内包间、物料暂存间、器具间、脱包间、污物暂存间、一更、二更、换鞋、洗衣整衣等；</w:t>
      </w:r>
      <w:r>
        <w:rPr>
          <w:rFonts w:hint="eastAsia" w:asciiTheme="minorEastAsia" w:hAnsiTheme="minorEastAsia" w:eastAsiaTheme="minorEastAsia" w:cstheme="minorEastAsia"/>
          <w:color w:val="auto"/>
          <w:sz w:val="24"/>
          <w:szCs w:val="24"/>
          <w:highlight w:val="none"/>
          <w:lang w:val="en-US" w:eastAsia="zh-CN"/>
        </w:rPr>
        <w:t>肿瘤类器官资源研发平台</w:t>
      </w:r>
      <w:r>
        <w:rPr>
          <w:rFonts w:hint="eastAsia" w:asciiTheme="minorEastAsia" w:hAnsiTheme="minorEastAsia" w:eastAsiaTheme="minorEastAsia" w:cstheme="minorEastAsia"/>
          <w:color w:val="auto"/>
          <w:sz w:val="24"/>
          <w:szCs w:val="24"/>
          <w:highlight w:val="none"/>
          <w:lang w:val="en-US" w:eastAsia="zh"/>
        </w:rPr>
        <w:t>（B级），功能房间有换鞋、一更、二更、缓冲、洗衣整衣、洁具间、物料传递间、物料暂存间、功能间一~四、成品缓冲、暂存间等；</w:t>
      </w:r>
      <w:r>
        <w:rPr>
          <w:rFonts w:hint="eastAsia" w:asciiTheme="minorEastAsia" w:hAnsiTheme="minorEastAsia" w:eastAsiaTheme="minorEastAsia" w:cstheme="minorEastAsia"/>
          <w:color w:val="auto"/>
          <w:sz w:val="24"/>
          <w:szCs w:val="24"/>
          <w:highlight w:val="none"/>
          <w:lang w:val="en-US" w:eastAsia="zh-CN"/>
        </w:rPr>
        <w:t>儿童遗传病诱导多能干细胞平台</w:t>
      </w:r>
      <w:r>
        <w:rPr>
          <w:rFonts w:hint="eastAsia" w:asciiTheme="minorEastAsia" w:hAnsiTheme="minorEastAsia" w:eastAsiaTheme="minorEastAsia" w:cstheme="minorEastAsia"/>
          <w:color w:val="auto"/>
          <w:sz w:val="24"/>
          <w:szCs w:val="24"/>
          <w:highlight w:val="none"/>
          <w:lang w:val="en-US" w:eastAsia="zh"/>
        </w:rPr>
        <w:t>（B级），功能房间有换鞋、一更、二更、缓冲、洗衣整衣、洁具间、器具清洗、器具存放、物料传递间、物料暂存间、功能间一~五、培养间、成品缓冲、暂存间等；干细胞区库房、气瓶间、成品库、原料库、外包装暂存间等辅房。</w:t>
      </w:r>
    </w:p>
    <w:p w14:paraId="319ACC53">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
        </w:rPr>
        <w:t>1.5一般性说明</w:t>
      </w:r>
    </w:p>
    <w:p w14:paraId="590D079A">
      <w:pPr>
        <w:pageBreakBefore w:val="0"/>
        <w:numPr>
          <w:ilvl w:val="0"/>
          <w:numId w:val="6"/>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本工程设计图纸所注标高以米为单位，其余均以毫米为单位。</w:t>
      </w:r>
    </w:p>
    <w:p w14:paraId="5BBCE65E">
      <w:pPr>
        <w:pageBreakBefore w:val="0"/>
        <w:numPr>
          <w:ilvl w:val="0"/>
          <w:numId w:val="6"/>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凡装修工程材料选用及做法均符合设计要求。</w:t>
      </w:r>
    </w:p>
    <w:p w14:paraId="4459FA70">
      <w:pPr>
        <w:pageBreakBefore w:val="0"/>
        <w:numPr>
          <w:ilvl w:val="0"/>
          <w:numId w:val="6"/>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凡图纸及本说明未详及处，均严格按国家有关现行标准、规范、规程处理。</w:t>
      </w:r>
    </w:p>
    <w:p w14:paraId="4F9D39B8">
      <w:pPr>
        <w:pageBreakBefore w:val="0"/>
        <w:numPr>
          <w:ilvl w:val="0"/>
          <w:numId w:val="6"/>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本工程所选用的建筑材料和装修材料必须满足《民用建筑工程室内环境污染控制规定》GB50325的规定。</w:t>
      </w:r>
    </w:p>
    <w:p w14:paraId="1BA2B957">
      <w:pPr>
        <w:pageBreakBefore w:val="0"/>
        <w:numPr>
          <w:ilvl w:val="0"/>
          <w:numId w:val="6"/>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本工程执行现行国家标准《建筑内部装修设计防火规范》GB50222-2017中对装修材料的燃烧性能等级要求的相关规定。</w:t>
      </w:r>
    </w:p>
    <w:p w14:paraId="3675B2E0">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eastAsia="zh"/>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
        </w:rPr>
        <w:t>6</w:t>
      </w:r>
      <w:r>
        <w:rPr>
          <w:rFonts w:hint="eastAsia" w:asciiTheme="minorEastAsia" w:hAnsiTheme="minorEastAsia" w:eastAsiaTheme="minorEastAsia" w:cstheme="minorEastAsia"/>
          <w:color w:val="auto"/>
          <w:sz w:val="24"/>
          <w:szCs w:val="24"/>
          <w:highlight w:val="none"/>
          <w:lang w:val="en-US" w:eastAsia="zh"/>
        </w:rPr>
        <w:t>装修装饰说明</w:t>
      </w:r>
    </w:p>
    <w:p w14:paraId="412A199D">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1.6.1、墙面工程</w:t>
      </w:r>
    </w:p>
    <w:p w14:paraId="3B03C0F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1.墙体采用50mm玻镁岩棉彩钢板（手工板）墙体；</w:t>
      </w:r>
    </w:p>
    <w:p w14:paraId="53BA5B02">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2.除湿区外其他区域墙面采用抗菌无机涂料。 </w:t>
      </w:r>
    </w:p>
    <w:p w14:paraId="2262F37A">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3.所有湿区墙面采用蒸压加气混凝土砌块隔墙，先1.5mm厚JS防水后采用600X300瓷片铺贴，接缝处采用填缝剂填缝，防水高度1.8m，墙体做300高C20砼基脚,与墙同宽。</w:t>
      </w:r>
    </w:p>
    <w:p w14:paraId="722A56F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所有新建蒸压加气混凝土砌块隔墙填充端部，转角处，交叉处且在中间间距4m左右设置构造柱：其截面墙厚x200，纵筋4∅12箍筋∅6@200。 防辐射房间墙体高度砌至顶，其他不砌顶新建蒸压加气混凝土砌块隔墙顶做压梁100mm，墙体高度（含压梁）高于吊顶高度150mm。 </w:t>
      </w:r>
    </w:p>
    <w:p w14:paraId="3642C804">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墙面选材颜色由业主看样确定。</w:t>
      </w:r>
    </w:p>
    <w:p w14:paraId="2217EF26">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1.6.2、吊顶工程</w:t>
      </w:r>
    </w:p>
    <w:p w14:paraId="064B309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1.吊顶采用50mm玻镁岩棉彩钢板（手工板）吊顶。普通区域辅助用房吊顶采用600*600*0.8铝扣板吊顶。</w:t>
      </w:r>
    </w:p>
    <w:p w14:paraId="714F6439">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2.当楼板与吊顶间距超过1.5米时，吊顶龙骨需做反向支撑处理，具体详见图集12J502-2  2/A31。</w:t>
      </w:r>
    </w:p>
    <w:p w14:paraId="3584238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3.无机预涂板吊顶需设检修口，检修后复原，并封胶密封。</w:t>
      </w:r>
    </w:p>
    <w:p w14:paraId="2EB0BEB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4.吊顶选材颜色由业主看样确定。</w:t>
      </w:r>
    </w:p>
    <w:p w14:paraId="074A500D">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1.6.3、地面工程</w:t>
      </w:r>
    </w:p>
    <w:p w14:paraId="530F872A">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1.除湿区外地面均采用2m自流平处理后采用2.0mm同质透心PVC卷材铺贴，接缝处采用同材料焊条进行无缝焊接。(PVC卷材要求：同质透芯、耐磨、耐稀酸或稀碱、防滑、防垢)。</w:t>
      </w:r>
    </w:p>
    <w:p w14:paraId="65941946">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2.湿区地面采用1.5厚JS防水处理后采用600X600防滑地砖铺贴，接缝处采用填缝剂填缝，防水涂料高度为2000mm。</w:t>
      </w:r>
    </w:p>
    <w:p w14:paraId="3AE56F3B">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3.铺贴PVC卷材的地面均设100高踢脚，踢脚与地面采用圆弧过渡。</w:t>
      </w:r>
    </w:p>
    <w:p w14:paraId="4B3BD5AE">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4.湿区地面最高点低于其他地面15mm，并向地漏处设0.5％坡度。</w:t>
      </w:r>
    </w:p>
    <w:p w14:paraId="347732E3">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5.凡铺贴防滑地砖与其他砖类材质交汇处房间门或门洞设一花岗岩分隔条（门槛石）。pvc地面与其他材质交汇处房间或门洞需设门槛石（非砖类不设门槛石）与不锈钢压条。压条规格为门洞长度x50mm宽x1.0mm厚。</w:t>
      </w:r>
    </w:p>
    <w:p w14:paraId="260A44A5">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6.地面门槛石做法详见图集13J502-3；</w:t>
      </w:r>
    </w:p>
    <w:p w14:paraId="19AFB4B5">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7.地砖-过门石-PVC卷材，4/H08；</w:t>
      </w:r>
    </w:p>
    <w:p w14:paraId="34129046">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8.地砖-过门石-地砖,1/H09；</w:t>
      </w:r>
    </w:p>
    <w:p w14:paraId="3A992B7E">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9.pvc卷材地板铺设完成后，需做打蜡处理。</w:t>
      </w:r>
    </w:p>
    <w:p w14:paraId="7ADC807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10.地面选材颜色由业主看样定。</w:t>
      </w:r>
    </w:p>
    <w:p w14:paraId="6C7267EB">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1.6.4、门窗工程</w:t>
      </w:r>
    </w:p>
    <w:p w14:paraId="7697BE23">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1.工程范围内所有外窗室内窗台应设大理石窗台板。</w:t>
      </w:r>
    </w:p>
    <w:p w14:paraId="67AF60A8">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除特别注明，所有门均采用洁菌板面层，颜色协调，钢质门套。除特别注明外,门垛宽均为100,居中布置的门、窗均取墙段中点为基准。门扇≤1000带210X750X6观察窗，门扇＞1000带210X750X6观察窗。气密封门套与门框接触的地方均配密封胶条进行气密封处理。平开门应根据现场情况设置闭门器、门碰；闭门器均设置在房内或户内。</w:t>
      </w:r>
    </w:p>
    <w:p w14:paraId="66FE26EC">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3.除落地玻璃隔断、安全门及特别注明外，窗台高度均为900mm；固定窗为8mm厚钢化玻璃，钢化玻璃双开门、钢化玻璃趟门均为10mm厚钢化玻璃。</w:t>
      </w:r>
    </w:p>
    <w:p w14:paraId="42EF66BD">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4.所有门窗均按照洞口尺寸留孔。</w:t>
      </w:r>
    </w:p>
    <w:p w14:paraId="0C232D8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5.外墙/外窗、范围线以外阴影区域门窗均不在本次工程设计范围。</w:t>
      </w:r>
    </w:p>
    <w:p w14:paraId="64388DED">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1.6.5、其它</w:t>
      </w:r>
    </w:p>
    <w:p w14:paraId="4871B96D">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1.区域内的各专业管道包管材料以及饰面同所在房间。</w:t>
      </w:r>
    </w:p>
    <w:p w14:paraId="4451B6C4">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2.各楼层均需设置引导标识，具体位置根据现场定。</w:t>
      </w:r>
    </w:p>
    <w:p w14:paraId="5206A68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3.未尽事宜，均按国家规范执行。</w:t>
      </w:r>
    </w:p>
    <w:p w14:paraId="13229D8F">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vertAlign w:val="baseline"/>
          <w:lang w:eastAsia="zh"/>
        </w:rPr>
      </w:pPr>
      <w:r>
        <w:rPr>
          <w:rFonts w:hint="eastAsia" w:asciiTheme="minorEastAsia" w:hAnsiTheme="minorEastAsia" w:eastAsiaTheme="minorEastAsia" w:cstheme="minorEastAsia"/>
          <w:color w:val="auto"/>
          <w:sz w:val="24"/>
          <w:szCs w:val="24"/>
          <w:highlight w:val="none"/>
          <w:lang w:val="en-US" w:eastAsia="zh-CN"/>
        </w:rPr>
        <w:t>1.7、</w:t>
      </w:r>
      <w:r>
        <w:rPr>
          <w:rFonts w:hint="eastAsia" w:asciiTheme="minorEastAsia" w:hAnsiTheme="minorEastAsia" w:eastAsiaTheme="minorEastAsia" w:cstheme="minorEastAsia"/>
          <w:color w:val="auto"/>
          <w:sz w:val="24"/>
          <w:szCs w:val="24"/>
          <w:highlight w:val="none"/>
          <w:lang w:eastAsia="zh"/>
        </w:rPr>
        <w:t>提升改造后平面示意图</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26BA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Borders>
              <w:top w:val="nil"/>
              <w:left w:val="nil"/>
              <w:bottom w:val="nil"/>
              <w:right w:val="nil"/>
            </w:tcBorders>
          </w:tcPr>
          <w:p w14:paraId="72320A7B">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vertAlign w:val="baseline"/>
                <w:lang w:eastAsia="zh"/>
              </w:rPr>
            </w:pPr>
            <w:r>
              <w:rPr>
                <w:rFonts w:hint="eastAsia" w:asciiTheme="minorEastAsia" w:hAnsiTheme="minorEastAsia" w:eastAsiaTheme="minorEastAsia" w:cstheme="minorEastAsia"/>
                <w:color w:val="auto"/>
                <w:sz w:val="24"/>
                <w:szCs w:val="24"/>
                <w:highlight w:val="none"/>
                <w:lang w:eastAsia="zh"/>
              </w:rPr>
              <w:drawing>
                <wp:anchor distT="0" distB="0" distL="114300" distR="114300" simplePos="0" relativeHeight="251661312" behindDoc="0" locked="0" layoutInCell="1" allowOverlap="1">
                  <wp:simplePos x="0" y="0"/>
                  <wp:positionH relativeFrom="column">
                    <wp:posOffset>671195</wp:posOffset>
                  </wp:positionH>
                  <wp:positionV relativeFrom="paragraph">
                    <wp:posOffset>-2221865</wp:posOffset>
                  </wp:positionV>
                  <wp:extent cx="4379595" cy="2675890"/>
                  <wp:effectExtent l="0" t="0" r="1905" b="381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4379595" cy="2675890"/>
                          </a:xfrm>
                          <a:prstGeom prst="rect">
                            <a:avLst/>
                          </a:prstGeom>
                          <a:noFill/>
                          <a:ln>
                            <a:noFill/>
                          </a:ln>
                        </pic:spPr>
                      </pic:pic>
                    </a:graphicData>
                  </a:graphic>
                </wp:anchor>
              </w:drawing>
            </w:r>
          </w:p>
        </w:tc>
      </w:tr>
    </w:tbl>
    <w:p w14:paraId="6827B869">
      <w:pPr>
        <w:keepNext w:val="0"/>
        <w:keepLines w:val="0"/>
        <w:pageBreakBefore w:val="0"/>
        <w:widowControl w:val="0"/>
        <w:suppressLineNumbers w:val="0"/>
        <w:kinsoku/>
        <w:wordWrap/>
        <w:overflowPunct/>
        <w:topLinePunct w:val="0"/>
        <w:bidi w:val="0"/>
        <w:spacing w:before="0" w:beforeAutospacing="0" w:after="0" w:afterAutospacing="0" w:line="400" w:lineRule="exact"/>
        <w:ind w:left="0" w:leftChars="0" w:right="0" w:firstLine="0" w:firstLineChars="0"/>
        <w:jc w:val="center"/>
        <w:textAlignment w:val="auto"/>
        <w:rPr>
          <w:rFonts w:hint="eastAsia"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lang w:val="en-US" w:eastAsia="zh-CN" w:bidi="ar"/>
        </w:rPr>
        <w:t>图1.7-</w:t>
      </w:r>
      <w:r>
        <w:rPr>
          <w:rFonts w:hint="eastAsia" w:asciiTheme="minorEastAsia" w:hAnsiTheme="minorEastAsia" w:eastAsiaTheme="minorEastAsia" w:cstheme="minorEastAsia"/>
          <w:bCs/>
          <w:color w:val="auto"/>
          <w:kern w:val="0"/>
          <w:sz w:val="24"/>
          <w:szCs w:val="24"/>
          <w:highlight w:val="none"/>
          <w:lang w:val="en-US" w:eastAsia="zh-CN" w:bidi="ar"/>
        </w:rPr>
        <w:t>1</w:t>
      </w:r>
      <w:r>
        <w:rPr>
          <w:rFonts w:hint="eastAsia" w:asciiTheme="minorEastAsia" w:hAnsiTheme="minorEastAsia" w:eastAsiaTheme="minorEastAsia" w:cstheme="minorEastAsia"/>
          <w:color w:val="auto"/>
          <w:kern w:val="2"/>
          <w:sz w:val="24"/>
          <w:szCs w:val="24"/>
          <w:highlight w:val="none"/>
          <w:lang w:val="en-US" w:eastAsia="zh-CN" w:bidi="ar"/>
        </w:rPr>
        <w:t>提升后转化中心实验区平面示意图</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8"/>
      </w:tblGrid>
      <w:tr w14:paraId="50B67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8" w:type="dxa"/>
          </w:tcPr>
          <w:p w14:paraId="1C4AB79E">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vertAlign w:val="baseline"/>
                <w:lang w:eastAsia="zh"/>
              </w:rPr>
            </w:pPr>
            <w:r>
              <w:rPr>
                <w:rFonts w:hint="eastAsia" w:asciiTheme="minorEastAsia" w:hAnsiTheme="minorEastAsia" w:eastAsiaTheme="minorEastAsia" w:cstheme="minorEastAsia"/>
                <w:color w:val="auto"/>
                <w:sz w:val="24"/>
                <w:szCs w:val="24"/>
                <w:highlight w:val="none"/>
              </w:rPr>
              <w:drawing>
                <wp:anchor distT="0" distB="0" distL="114300" distR="114300" simplePos="0" relativeHeight="251663360" behindDoc="0" locked="0" layoutInCell="1" allowOverlap="1">
                  <wp:simplePos x="0" y="0"/>
                  <wp:positionH relativeFrom="column">
                    <wp:posOffset>393700</wp:posOffset>
                  </wp:positionH>
                  <wp:positionV relativeFrom="paragraph">
                    <wp:posOffset>66675</wp:posOffset>
                  </wp:positionV>
                  <wp:extent cx="4478020" cy="3187065"/>
                  <wp:effectExtent l="0" t="0" r="5080" b="635"/>
                  <wp:wrapSquare wrapText="bothSides"/>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4478020" cy="3187065"/>
                          </a:xfrm>
                          <a:prstGeom prst="rect">
                            <a:avLst/>
                          </a:prstGeom>
                          <a:noFill/>
                          <a:ln>
                            <a:noFill/>
                          </a:ln>
                        </pic:spPr>
                      </pic:pic>
                    </a:graphicData>
                  </a:graphic>
                </wp:anchor>
              </w:drawing>
            </w:r>
          </w:p>
        </w:tc>
      </w:tr>
    </w:tbl>
    <w:p w14:paraId="3BD71659">
      <w:pPr>
        <w:pageBreakBefore w:val="0"/>
        <w:kinsoku/>
        <w:wordWrap/>
        <w:overflowPunct/>
        <w:topLinePunct w:val="0"/>
        <w:bidi w:val="0"/>
        <w:spacing w:line="400" w:lineRule="exact"/>
        <w:ind w:left="0" w:leftChars="0" w:firstLine="0" w:firstLineChars="0"/>
        <w:jc w:val="center"/>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图</w:t>
      </w:r>
      <w:r>
        <w:rPr>
          <w:rFonts w:hint="eastAsia" w:asciiTheme="minorEastAsia" w:hAnsiTheme="minorEastAsia" w:eastAsiaTheme="minorEastAsia" w:cstheme="minorEastAsia"/>
          <w:bCs/>
          <w:color w:val="auto"/>
          <w:kern w:val="0"/>
          <w:sz w:val="24"/>
          <w:szCs w:val="24"/>
          <w:highlight w:val="none"/>
          <w:lang w:val="en-US" w:eastAsia="zh-CN"/>
        </w:rPr>
        <w:t>1.7</w:t>
      </w:r>
      <w:r>
        <w:rPr>
          <w:rFonts w:hint="eastAsia" w:asciiTheme="minorEastAsia" w:hAnsiTheme="minorEastAsia" w:eastAsiaTheme="minorEastAsia" w:cstheme="minorEastAsia"/>
          <w:bCs/>
          <w:color w:val="auto"/>
          <w:kern w:val="0"/>
          <w:sz w:val="24"/>
          <w:szCs w:val="24"/>
          <w:highlight w:val="none"/>
        </w:rPr>
        <w:t>-</w:t>
      </w:r>
      <w:r>
        <w:rPr>
          <w:rFonts w:hint="eastAsia" w:asciiTheme="minorEastAsia" w:hAnsiTheme="minorEastAsia" w:eastAsiaTheme="minorEastAsia" w:cstheme="minorEastAsia"/>
          <w:bCs/>
          <w:color w:val="auto"/>
          <w:kern w:val="0"/>
          <w:sz w:val="24"/>
          <w:szCs w:val="24"/>
          <w:highlight w:val="none"/>
          <w:lang w:eastAsia="zh"/>
        </w:rPr>
        <w:t>2</w:t>
      </w:r>
      <w:r>
        <w:rPr>
          <w:rFonts w:hint="eastAsia" w:asciiTheme="minorEastAsia" w:hAnsiTheme="minorEastAsia" w:eastAsiaTheme="minorEastAsia" w:cstheme="minorEastAsia"/>
          <w:color w:val="auto"/>
          <w:sz w:val="24"/>
          <w:szCs w:val="24"/>
          <w:highlight w:val="none"/>
        </w:rPr>
        <w:t>提升后</w:t>
      </w:r>
      <w:r>
        <w:rPr>
          <w:rFonts w:hint="eastAsia" w:asciiTheme="minorEastAsia" w:hAnsiTheme="minorEastAsia" w:eastAsiaTheme="minorEastAsia" w:cstheme="minorEastAsia"/>
          <w:color w:val="auto"/>
          <w:sz w:val="24"/>
          <w:szCs w:val="24"/>
          <w:highlight w:val="none"/>
          <w:lang w:val="en-US" w:eastAsia="zh-CN"/>
        </w:rPr>
        <w:t>转化中心实验室平台</w:t>
      </w:r>
      <w:r>
        <w:rPr>
          <w:rFonts w:hint="eastAsia" w:asciiTheme="minorEastAsia" w:hAnsiTheme="minorEastAsia" w:eastAsiaTheme="minorEastAsia" w:cstheme="minorEastAsia"/>
          <w:color w:val="auto"/>
          <w:sz w:val="24"/>
          <w:szCs w:val="24"/>
          <w:highlight w:val="none"/>
        </w:rPr>
        <w:t>平面示意图</w:t>
      </w:r>
    </w:p>
    <w:p w14:paraId="038A1DEA">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p>
    <w:p w14:paraId="0CBF1264">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p>
    <w:p w14:paraId="2995B97F">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p>
    <w:p w14:paraId="77D8A1B0">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1.8、</w:t>
      </w:r>
      <w:r>
        <w:rPr>
          <w:rFonts w:hint="eastAsia" w:asciiTheme="minorEastAsia" w:hAnsiTheme="minorEastAsia" w:eastAsiaTheme="minorEastAsia" w:cstheme="minorEastAsia"/>
          <w:color w:val="auto"/>
          <w:sz w:val="24"/>
          <w:szCs w:val="24"/>
          <w:highlight w:val="none"/>
          <w:lang w:eastAsia="zh"/>
        </w:rPr>
        <w:t>现场照片</w:t>
      </w:r>
    </w:p>
    <w:p w14:paraId="2A55650F">
      <w:pPr>
        <w:pStyle w:val="16"/>
        <w:keepNext w:val="0"/>
        <w:keepLines w:val="0"/>
        <w:pageBreakBefore w:val="0"/>
        <w:widowControl w:val="0"/>
        <w:suppressLineNumbers w:val="0"/>
        <w:kinsoku/>
        <w:wordWrap/>
        <w:overflowPunct/>
        <w:topLinePunct w:val="0"/>
        <w:bidi w:val="0"/>
        <w:spacing w:before="0" w:beforeLines="0" w:beforeAutospacing="0" w:after="0" w:afterLines="0" w:afterAutospacing="0" w:line="400" w:lineRule="exact"/>
        <w:ind w:left="0" w:right="0" w:firstLine="0" w:firstLineChars="0"/>
        <w:jc w:val="center"/>
        <w:textAlignment w:val="auto"/>
        <w:rPr>
          <w:rFonts w:hint="eastAsia" w:asciiTheme="minorEastAsia" w:hAnsiTheme="minorEastAsia" w:eastAsiaTheme="minorEastAsia" w:cstheme="minorEastAsia"/>
          <w:b/>
          <w:bCs/>
          <w:color w:val="auto"/>
          <w:kern w:val="2"/>
          <w:sz w:val="24"/>
          <w:szCs w:val="24"/>
          <w:highlight w:val="none"/>
          <w:lang w:eastAsia="zh"/>
        </w:rPr>
      </w:pP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8"/>
      </w:tblGrid>
      <w:tr w14:paraId="7C4B3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8" w:type="dxa"/>
          </w:tcPr>
          <w:p w14:paraId="0C2F1F1A">
            <w:pPr>
              <w:pStyle w:val="16"/>
              <w:keepNext w:val="0"/>
              <w:keepLines w:val="0"/>
              <w:pageBreakBefore w:val="0"/>
              <w:widowControl w:val="0"/>
              <w:suppressLineNumbers w:val="0"/>
              <w:kinsoku/>
              <w:wordWrap/>
              <w:overflowPunct/>
              <w:topLinePunct w:val="0"/>
              <w:bidi w:val="0"/>
              <w:spacing w:before="0" w:beforeLines="0" w:beforeAutospacing="0" w:after="0" w:afterLines="0" w:afterAutospacing="0" w:line="400" w:lineRule="exact"/>
              <w:ind w:right="0"/>
              <w:jc w:val="center"/>
              <w:textAlignment w:val="auto"/>
              <w:rPr>
                <w:rFonts w:hint="eastAsia" w:asciiTheme="minorEastAsia" w:hAnsiTheme="minorEastAsia" w:eastAsiaTheme="minorEastAsia" w:cstheme="minorEastAsia"/>
                <w:b/>
                <w:bCs/>
                <w:color w:val="auto"/>
                <w:kern w:val="2"/>
                <w:sz w:val="24"/>
                <w:szCs w:val="24"/>
                <w:highlight w:val="none"/>
                <w:vertAlign w:val="baseline"/>
                <w:lang w:eastAsia="zh"/>
              </w:rPr>
            </w:pPr>
            <w:r>
              <w:rPr>
                <w:rFonts w:hint="eastAsia" w:asciiTheme="minorEastAsia" w:hAnsiTheme="minorEastAsia" w:eastAsiaTheme="minorEastAsia" w:cstheme="minorEastAsia"/>
                <w:b/>
                <w:bCs/>
                <w:color w:val="auto"/>
                <w:kern w:val="2"/>
                <w:sz w:val="24"/>
                <w:szCs w:val="24"/>
                <w:highlight w:val="none"/>
                <w:lang w:eastAsia="zh"/>
              </w:rPr>
              <w:drawing>
                <wp:anchor distT="0" distB="0" distL="114300" distR="114300" simplePos="0" relativeHeight="251662336" behindDoc="0" locked="0" layoutInCell="1" allowOverlap="1">
                  <wp:simplePos x="0" y="0"/>
                  <wp:positionH relativeFrom="column">
                    <wp:posOffset>556260</wp:posOffset>
                  </wp:positionH>
                  <wp:positionV relativeFrom="paragraph">
                    <wp:posOffset>-2870835</wp:posOffset>
                  </wp:positionV>
                  <wp:extent cx="4156710" cy="3122930"/>
                  <wp:effectExtent l="0" t="0" r="8890" b="1270"/>
                  <wp:wrapTopAndBottom/>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11"/>
                          <a:stretch>
                            <a:fillRect/>
                          </a:stretch>
                        </pic:blipFill>
                        <pic:spPr>
                          <a:xfrm>
                            <a:off x="0" y="0"/>
                            <a:ext cx="4156710" cy="3122930"/>
                          </a:xfrm>
                          <a:prstGeom prst="rect">
                            <a:avLst/>
                          </a:prstGeom>
                          <a:noFill/>
                          <a:ln>
                            <a:noFill/>
                          </a:ln>
                        </pic:spPr>
                      </pic:pic>
                    </a:graphicData>
                  </a:graphic>
                </wp:anchor>
              </w:drawing>
            </w:r>
          </w:p>
        </w:tc>
      </w:tr>
    </w:tbl>
    <w:p w14:paraId="1F040D24">
      <w:pPr>
        <w:pStyle w:val="16"/>
        <w:keepNext w:val="0"/>
        <w:keepLines w:val="0"/>
        <w:pageBreakBefore w:val="0"/>
        <w:widowControl/>
        <w:suppressLineNumbers w:val="0"/>
        <w:kinsoku/>
        <w:wordWrap/>
        <w:overflowPunct/>
        <w:topLinePunct w:val="0"/>
        <w:bidi w:val="0"/>
        <w:spacing w:before="0" w:beforeAutospacing="0" w:after="0" w:afterAutospacing="0" w:line="400" w:lineRule="exact"/>
        <w:ind w:left="0" w:right="0" w:firstLine="480" w:firstLineChars="200"/>
        <w:jc w:val="center"/>
        <w:textAlignment w:val="auto"/>
        <w:rPr>
          <w:rFonts w:hint="eastAsia" w:asciiTheme="minorEastAsia" w:hAnsiTheme="minorEastAsia" w:eastAsiaTheme="minorEastAsia" w:cstheme="minorEastAsia"/>
          <w:color w:val="auto"/>
          <w:kern w:val="2"/>
          <w:sz w:val="24"/>
          <w:szCs w:val="24"/>
          <w:highlight w:val="none"/>
        </w:rPr>
      </w:pPr>
      <w:bookmarkStart w:id="16" w:name="_Toc120735009"/>
      <w:bookmarkEnd w:id="16"/>
      <w:r>
        <w:rPr>
          <w:rFonts w:hint="eastAsia" w:asciiTheme="minorEastAsia" w:hAnsiTheme="minorEastAsia" w:eastAsiaTheme="minorEastAsia" w:cstheme="minorEastAsia"/>
          <w:color w:val="auto"/>
          <w:kern w:val="2"/>
          <w:sz w:val="24"/>
          <w:szCs w:val="24"/>
          <w:highlight w:val="none"/>
          <w:lang w:val="en-US" w:eastAsia="zh-CN" w:bidi="ar"/>
        </w:rPr>
        <w:t>图</w:t>
      </w:r>
      <w:r>
        <w:rPr>
          <w:rFonts w:hint="eastAsia" w:asciiTheme="minorEastAsia" w:hAnsiTheme="minorEastAsia" w:cstheme="minorEastAsia"/>
          <w:bCs/>
          <w:color w:val="auto"/>
          <w:kern w:val="0"/>
          <w:sz w:val="24"/>
          <w:szCs w:val="24"/>
          <w:highlight w:val="none"/>
          <w:lang w:val="en-US" w:eastAsia="zh-CN" w:bidi="ar"/>
        </w:rPr>
        <w:t>1.8</w:t>
      </w:r>
      <w:r>
        <w:rPr>
          <w:rFonts w:hint="eastAsia" w:asciiTheme="minorEastAsia" w:hAnsiTheme="minorEastAsia" w:eastAsiaTheme="minorEastAsia" w:cstheme="minorEastAsia"/>
          <w:bCs/>
          <w:color w:val="auto"/>
          <w:kern w:val="0"/>
          <w:sz w:val="24"/>
          <w:szCs w:val="24"/>
          <w:highlight w:val="none"/>
          <w:lang w:val="en-US" w:eastAsia="zh-CN" w:bidi="ar"/>
        </w:rPr>
        <w:t>-1</w:t>
      </w:r>
      <w:r>
        <w:rPr>
          <w:rFonts w:hint="eastAsia" w:asciiTheme="minorEastAsia" w:hAnsiTheme="minorEastAsia" w:eastAsiaTheme="minorEastAsia" w:cstheme="minorEastAsia"/>
          <w:color w:val="auto"/>
          <w:kern w:val="2"/>
          <w:sz w:val="24"/>
          <w:szCs w:val="24"/>
          <w:highlight w:val="none"/>
          <w:lang w:val="en-US" w:eastAsia="zh-CN" w:bidi="ar"/>
        </w:rPr>
        <w:t>行政科研楼五层西侧现状图</w:t>
      </w:r>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74"/>
        <w:gridCol w:w="4474"/>
      </w:tblGrid>
      <w:tr w14:paraId="3186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74" w:type="dxa"/>
          </w:tcPr>
          <w:p w14:paraId="39EFEF4A">
            <w:pPr>
              <w:pStyle w:val="6"/>
              <w:pageBreakBefore w:val="0"/>
              <w:widowControl w:val="0"/>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vertAlign w:val="baseline"/>
              </w:rPr>
            </w:pPr>
            <w:r>
              <w:rPr>
                <w:color w:val="auto"/>
                <w:highlight w:val="none"/>
              </w:rPr>
              <w:drawing>
                <wp:anchor distT="0" distB="0" distL="114300" distR="114300" simplePos="0" relativeHeight="251665408" behindDoc="0" locked="0" layoutInCell="1" allowOverlap="1">
                  <wp:simplePos x="0" y="0"/>
                  <wp:positionH relativeFrom="column">
                    <wp:posOffset>279400</wp:posOffset>
                  </wp:positionH>
                  <wp:positionV relativeFrom="paragraph">
                    <wp:posOffset>-2679700</wp:posOffset>
                  </wp:positionV>
                  <wp:extent cx="2795270" cy="2097405"/>
                  <wp:effectExtent l="0" t="0" r="11430" b="10795"/>
                  <wp:wrapSquare wrapText="bothSides"/>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2795270" cy="2097405"/>
                          </a:xfrm>
                          <a:prstGeom prst="rect">
                            <a:avLst/>
                          </a:prstGeom>
                          <a:noFill/>
                          <a:ln>
                            <a:noFill/>
                          </a:ln>
                        </pic:spPr>
                      </pic:pic>
                    </a:graphicData>
                  </a:graphic>
                </wp:anchor>
              </w:drawing>
            </w:r>
          </w:p>
        </w:tc>
        <w:tc>
          <w:tcPr>
            <w:tcW w:w="4474" w:type="dxa"/>
          </w:tcPr>
          <w:p w14:paraId="0A72A99E">
            <w:pPr>
              <w:pStyle w:val="6"/>
              <w:pageBreakBefore w:val="0"/>
              <w:widowControl w:val="0"/>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vertAlign w:val="baseline"/>
              </w:rPr>
            </w:pPr>
            <w:r>
              <w:rPr>
                <w:color w:val="auto"/>
                <w:highlight w:val="none"/>
              </w:rPr>
              <w:drawing>
                <wp:anchor distT="0" distB="0" distL="114300" distR="114300" simplePos="0" relativeHeight="251664384" behindDoc="0" locked="0" layoutInCell="1" allowOverlap="1">
                  <wp:simplePos x="0" y="0"/>
                  <wp:positionH relativeFrom="column">
                    <wp:posOffset>-1199515</wp:posOffset>
                  </wp:positionH>
                  <wp:positionV relativeFrom="paragraph">
                    <wp:posOffset>-2679700</wp:posOffset>
                  </wp:positionV>
                  <wp:extent cx="2803525" cy="2096770"/>
                  <wp:effectExtent l="0" t="0" r="3175" b="11430"/>
                  <wp:wrapSquare wrapText="bothSides"/>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a:stretch>
                            <a:fillRect/>
                          </a:stretch>
                        </pic:blipFill>
                        <pic:spPr>
                          <a:xfrm>
                            <a:off x="0" y="0"/>
                            <a:ext cx="2803525" cy="2096770"/>
                          </a:xfrm>
                          <a:prstGeom prst="rect">
                            <a:avLst/>
                          </a:prstGeom>
                          <a:noFill/>
                          <a:ln>
                            <a:noFill/>
                          </a:ln>
                        </pic:spPr>
                      </pic:pic>
                    </a:graphicData>
                  </a:graphic>
                </wp:anchor>
              </w:drawing>
            </w:r>
          </w:p>
        </w:tc>
      </w:tr>
    </w:tbl>
    <w:p w14:paraId="735CC08C">
      <w:pPr>
        <w:pStyle w:val="6"/>
        <w:pageBreakBefore w:val="0"/>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图</w:t>
      </w:r>
      <w:r>
        <w:rPr>
          <w:rFonts w:hint="eastAsia" w:asciiTheme="minorEastAsia" w:hAnsiTheme="minorEastAsia" w:eastAsiaTheme="minorEastAsia" w:cstheme="minorEastAsia"/>
          <w:bCs/>
          <w:color w:val="auto"/>
          <w:kern w:val="0"/>
          <w:sz w:val="24"/>
          <w:szCs w:val="24"/>
          <w:highlight w:val="none"/>
          <w:lang w:val="en-US" w:eastAsia="zh-CN"/>
        </w:rPr>
        <w:t>1.8</w:t>
      </w:r>
      <w:r>
        <w:rPr>
          <w:rFonts w:hint="eastAsia" w:asciiTheme="minorEastAsia" w:hAnsiTheme="minorEastAsia" w:eastAsiaTheme="minorEastAsia" w:cstheme="minorEastAsia"/>
          <w:bCs/>
          <w:color w:val="auto"/>
          <w:kern w:val="0"/>
          <w:sz w:val="24"/>
          <w:szCs w:val="24"/>
          <w:highlight w:val="none"/>
        </w:rPr>
        <w:t>-</w:t>
      </w:r>
      <w:r>
        <w:rPr>
          <w:rFonts w:hint="eastAsia" w:asciiTheme="minorEastAsia" w:hAnsiTheme="minorEastAsia" w:eastAsiaTheme="minorEastAsia" w:cstheme="minorEastAsia"/>
          <w:bCs/>
          <w:color w:val="auto"/>
          <w:kern w:val="0"/>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行政科研楼</w:t>
      </w:r>
      <w:r>
        <w:rPr>
          <w:rFonts w:hint="eastAsia" w:asciiTheme="minorEastAsia" w:hAnsiTheme="minorEastAsia" w:eastAsiaTheme="minorEastAsia" w:cstheme="minorEastAsia"/>
          <w:color w:val="auto"/>
          <w:sz w:val="24"/>
          <w:szCs w:val="24"/>
          <w:highlight w:val="none"/>
          <w:lang w:val="en-US" w:eastAsia="zh-CN"/>
        </w:rPr>
        <w:t>四</w:t>
      </w:r>
      <w:r>
        <w:rPr>
          <w:rFonts w:hint="eastAsia" w:asciiTheme="minorEastAsia" w:hAnsiTheme="minorEastAsia" w:eastAsiaTheme="minorEastAsia" w:cstheme="minorEastAsia"/>
          <w:color w:val="auto"/>
          <w:sz w:val="24"/>
          <w:szCs w:val="24"/>
          <w:highlight w:val="none"/>
        </w:rPr>
        <w:t>层</w:t>
      </w:r>
      <w:r>
        <w:rPr>
          <w:rFonts w:hint="eastAsia" w:asciiTheme="minorEastAsia" w:hAnsiTheme="minorEastAsia" w:eastAsiaTheme="minorEastAsia" w:cstheme="minorEastAsia"/>
          <w:color w:val="auto"/>
          <w:sz w:val="24"/>
          <w:szCs w:val="24"/>
          <w:highlight w:val="none"/>
          <w:lang w:val="en-US" w:eastAsia="zh-CN"/>
        </w:rPr>
        <w:t>西</w:t>
      </w:r>
      <w:r>
        <w:rPr>
          <w:rFonts w:hint="eastAsia" w:asciiTheme="minorEastAsia" w:hAnsiTheme="minorEastAsia" w:eastAsiaTheme="minorEastAsia" w:cstheme="minorEastAsia"/>
          <w:color w:val="auto"/>
          <w:sz w:val="24"/>
          <w:szCs w:val="24"/>
          <w:highlight w:val="none"/>
        </w:rPr>
        <w:t>侧现状图</w:t>
      </w:r>
    </w:p>
    <w:p w14:paraId="226E6DF8">
      <w:pPr>
        <w:pageBreakBefore w:val="0"/>
        <w:kinsoku/>
        <w:wordWrap/>
        <w:overflowPunct/>
        <w:topLinePunct w:val="0"/>
        <w:bidi w:val="0"/>
        <w:spacing w:line="400" w:lineRule="exact"/>
        <w:textAlignment w:val="auto"/>
        <w:outlineLvl w:val="2"/>
        <w:rPr>
          <w:rFonts w:hint="eastAsia" w:asciiTheme="minorEastAsia" w:hAnsiTheme="minorEastAsia" w:eastAsiaTheme="minorEastAsia" w:cstheme="minorEastAsia"/>
          <w:b/>
          <w:color w:val="auto"/>
          <w:sz w:val="24"/>
          <w:szCs w:val="24"/>
          <w:highlight w:val="none"/>
        </w:rPr>
      </w:pPr>
      <w:bookmarkStart w:id="17" w:name="_Toc98605180"/>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结构</w:t>
      </w:r>
      <w:bookmarkEnd w:id="17"/>
    </w:p>
    <w:p w14:paraId="7C5102BC">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本部分内容未涉及，无需设计。</w:t>
      </w:r>
    </w:p>
    <w:p w14:paraId="27705B06">
      <w:pPr>
        <w:pageBreakBefore w:val="0"/>
        <w:kinsoku/>
        <w:wordWrap/>
        <w:overflowPunct/>
        <w:topLinePunct w:val="0"/>
        <w:bidi w:val="0"/>
        <w:spacing w:line="400" w:lineRule="exact"/>
        <w:textAlignment w:val="auto"/>
        <w:outlineLvl w:val="2"/>
        <w:rPr>
          <w:rFonts w:hint="eastAsia" w:asciiTheme="minorEastAsia" w:hAnsiTheme="minorEastAsia" w:eastAsiaTheme="minorEastAsia" w:cstheme="minorEastAsia"/>
          <w:b/>
          <w:color w:val="auto"/>
          <w:sz w:val="24"/>
          <w:szCs w:val="24"/>
          <w:highlight w:val="none"/>
        </w:rPr>
      </w:pPr>
      <w:bookmarkStart w:id="18" w:name="_Toc98605181"/>
      <w:r>
        <w:rPr>
          <w:rFonts w:hint="eastAsia" w:asciiTheme="minorEastAsia" w:hAnsiTheme="minorEastAsia" w:eastAsiaTheme="minorEastAsia" w:cstheme="minorEastAsia"/>
          <w:b/>
          <w:color w:val="auto"/>
          <w:sz w:val="24"/>
          <w:szCs w:val="24"/>
          <w:highlight w:val="none"/>
          <w:lang w:val="en-US" w:eastAsia="zh-CN"/>
        </w:rPr>
        <w:t>3.</w:t>
      </w:r>
      <w:r>
        <w:rPr>
          <w:rFonts w:hint="eastAsia" w:asciiTheme="minorEastAsia" w:hAnsiTheme="minorEastAsia" w:eastAsiaTheme="minorEastAsia" w:cstheme="minorEastAsia"/>
          <w:b/>
          <w:color w:val="auto"/>
          <w:sz w:val="24"/>
          <w:szCs w:val="24"/>
          <w:highlight w:val="none"/>
        </w:rPr>
        <w:t>电气</w:t>
      </w:r>
      <w:bookmarkEnd w:id="18"/>
    </w:p>
    <w:p w14:paraId="37C26818">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.1主要设计依据</w:t>
      </w:r>
    </w:p>
    <w:p w14:paraId="36041563">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《综合医院建筑设计规范》（GB51039-2014）；</w:t>
      </w:r>
    </w:p>
    <w:p w14:paraId="7568031D">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《医疗建筑电气设计规范》（JGJ312-2013）；</w:t>
      </w:r>
    </w:p>
    <w:p w14:paraId="7E75F9B0">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《民用建筑电气设计标准》（GB51348-2019）；</w:t>
      </w:r>
    </w:p>
    <w:p w14:paraId="214C7294">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《建筑照明设计标准》（GB/T50034-2024）</w:t>
      </w:r>
      <w:r>
        <w:rPr>
          <w:rFonts w:hint="eastAsia" w:asciiTheme="minorEastAsia" w:hAnsiTheme="minorEastAsia" w:eastAsiaTheme="minorEastAsia" w:cstheme="minorEastAsia"/>
          <w:color w:val="auto"/>
          <w:sz w:val="24"/>
          <w:szCs w:val="24"/>
          <w:highlight w:val="none"/>
        </w:rPr>
        <w:t>；</w:t>
      </w:r>
    </w:p>
    <w:p w14:paraId="72F2F0EC">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《建筑设计防火规范》（GB50016-2014）（2018年版）；</w:t>
      </w:r>
    </w:p>
    <w:p w14:paraId="1DF3C4FD">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《人民防空地下室设计规范》（GB50038-2005）；</w:t>
      </w:r>
    </w:p>
    <w:p w14:paraId="738F9680">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《20kV及以下变电所设计规范》（GB50053-2013）；</w:t>
      </w:r>
    </w:p>
    <w:p w14:paraId="279391C5">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《低压配电设计规范》（GB50054-2011）；</w:t>
      </w:r>
    </w:p>
    <w:p w14:paraId="550DC4BD">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《供配电系统设计规范》（GB50052-2009）；</w:t>
      </w:r>
    </w:p>
    <w:p w14:paraId="5BC0FF90">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《建筑机电工程抗震设计规范》（GB50981-2014）；</w:t>
      </w:r>
    </w:p>
    <w:p w14:paraId="6063100B">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《建筑机电工程设备抗震吊架通用技术条件》（CJ/T476-2015）</w:t>
      </w:r>
    </w:p>
    <w:p w14:paraId="3BC7DD12">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《建筑物防雷设计规范》（GB50057-2010）；</w:t>
      </w:r>
    </w:p>
    <w:p w14:paraId="46480437">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《消防应急照明和疏散指示系统技术标准》（GB51309-2018）；</w:t>
      </w:r>
    </w:p>
    <w:p w14:paraId="47B3B840">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《火灾自动报警系统设计规范》（GB50116-2013）；</w:t>
      </w:r>
    </w:p>
    <w:p w14:paraId="66B0749B">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《建筑节能与可再生能源利用通用规范》（GB55015-2021）；</w:t>
      </w:r>
    </w:p>
    <w:p w14:paraId="03C33B54">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《建筑电气与智能化通用规范》（GB55024-2022）；</w:t>
      </w:r>
    </w:p>
    <w:p w14:paraId="2EB4F2E7">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《建筑防火通用规范》（GB55037-2022）；</w:t>
      </w:r>
    </w:p>
    <w:p w14:paraId="45F03B39">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《消防设施通用规范》（GB55036-2022）；</w:t>
      </w:r>
    </w:p>
    <w:p w14:paraId="726D711D">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《建筑与市政工程无障碍通用规范》GB55019-2021</w:t>
      </w:r>
    </w:p>
    <w:p w14:paraId="525F2EC7">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《智能建筑设计标准》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GB50314-2015</w:t>
      </w:r>
      <w:r>
        <w:rPr>
          <w:rFonts w:hint="eastAsia" w:asciiTheme="minorEastAsia" w:hAnsiTheme="minorEastAsia" w:eastAsiaTheme="minorEastAsia" w:cstheme="minorEastAsia"/>
          <w:color w:val="auto"/>
          <w:sz w:val="24"/>
          <w:szCs w:val="24"/>
          <w:highlight w:val="none"/>
          <w:lang w:eastAsia="zh-CN"/>
        </w:rPr>
        <w:t>）；</w:t>
      </w:r>
    </w:p>
    <w:p w14:paraId="4BD1515E">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《综合布线系统工程设计规范》</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GB/T50311-2016</w:t>
      </w:r>
      <w:r>
        <w:rPr>
          <w:rFonts w:hint="eastAsia" w:asciiTheme="minorEastAsia" w:hAnsiTheme="minorEastAsia" w:eastAsiaTheme="minorEastAsia" w:cstheme="minorEastAsia"/>
          <w:color w:val="auto"/>
          <w:sz w:val="24"/>
          <w:szCs w:val="24"/>
          <w:highlight w:val="none"/>
          <w:lang w:eastAsia="zh-CN"/>
        </w:rPr>
        <w:t>）；</w:t>
      </w:r>
    </w:p>
    <w:p w14:paraId="5F4D936A">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《综合布线系统工程验收规范》</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GB/T50312-2016</w:t>
      </w:r>
      <w:r>
        <w:rPr>
          <w:rFonts w:hint="eastAsia" w:asciiTheme="minorEastAsia" w:hAnsiTheme="minorEastAsia" w:eastAsiaTheme="minorEastAsia" w:cstheme="minorEastAsia"/>
          <w:color w:val="auto"/>
          <w:sz w:val="24"/>
          <w:szCs w:val="24"/>
          <w:highlight w:val="none"/>
          <w:lang w:eastAsia="zh-CN"/>
        </w:rPr>
        <w:t>）；</w:t>
      </w:r>
    </w:p>
    <w:p w14:paraId="0D0F472B">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《有线电视网络工程设计标准》</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GB/T50200-2018</w:t>
      </w:r>
      <w:r>
        <w:rPr>
          <w:rFonts w:hint="eastAsia" w:asciiTheme="minorEastAsia" w:hAnsiTheme="minorEastAsia" w:eastAsiaTheme="minorEastAsia" w:cstheme="minorEastAsia"/>
          <w:color w:val="auto"/>
          <w:sz w:val="24"/>
          <w:szCs w:val="24"/>
          <w:highlight w:val="none"/>
          <w:lang w:eastAsia="zh-CN"/>
        </w:rPr>
        <w:t>）；</w:t>
      </w:r>
    </w:p>
    <w:p w14:paraId="3A9277B0">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《安全防范工程技术规范》</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GB50348-2018</w:t>
      </w:r>
      <w:r>
        <w:rPr>
          <w:rFonts w:hint="eastAsia" w:asciiTheme="minorEastAsia" w:hAnsiTheme="minorEastAsia" w:eastAsiaTheme="minorEastAsia" w:cstheme="minorEastAsia"/>
          <w:color w:val="auto"/>
          <w:sz w:val="24"/>
          <w:szCs w:val="24"/>
          <w:highlight w:val="none"/>
          <w:lang w:eastAsia="zh-CN"/>
        </w:rPr>
        <w:t>）；</w:t>
      </w:r>
    </w:p>
    <w:p w14:paraId="53E7E59F">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《视频安防监控系统工程设计规范》</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GB50395-2007</w:t>
      </w:r>
      <w:r>
        <w:rPr>
          <w:rFonts w:hint="eastAsia" w:asciiTheme="minorEastAsia" w:hAnsiTheme="minorEastAsia" w:eastAsiaTheme="minorEastAsia" w:cstheme="minorEastAsia"/>
          <w:color w:val="auto"/>
          <w:sz w:val="24"/>
          <w:szCs w:val="24"/>
          <w:highlight w:val="none"/>
          <w:lang w:eastAsia="zh-CN"/>
        </w:rPr>
        <w:t>）；</w:t>
      </w:r>
    </w:p>
    <w:p w14:paraId="27753244">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《建筑物电子信息系统防雷技术规范》</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GB50343-2012</w:t>
      </w:r>
      <w:r>
        <w:rPr>
          <w:rFonts w:hint="eastAsia" w:asciiTheme="minorEastAsia" w:hAnsiTheme="minorEastAsia" w:eastAsiaTheme="minorEastAsia" w:cstheme="minorEastAsia"/>
          <w:color w:val="auto"/>
          <w:sz w:val="24"/>
          <w:szCs w:val="24"/>
          <w:highlight w:val="none"/>
          <w:lang w:eastAsia="zh-CN"/>
        </w:rPr>
        <w:t>）；</w:t>
      </w:r>
    </w:p>
    <w:p w14:paraId="4CCF6665">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《电子会议系统工程设计规范》</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GB50799-2012</w:t>
      </w:r>
      <w:r>
        <w:rPr>
          <w:rFonts w:hint="eastAsia" w:asciiTheme="minorEastAsia" w:hAnsiTheme="minorEastAsia" w:eastAsiaTheme="minorEastAsia" w:cstheme="minorEastAsia"/>
          <w:color w:val="auto"/>
          <w:sz w:val="24"/>
          <w:szCs w:val="24"/>
          <w:highlight w:val="none"/>
          <w:lang w:eastAsia="zh-CN"/>
        </w:rPr>
        <w:t>）；</w:t>
      </w:r>
    </w:p>
    <w:p w14:paraId="539B79EF">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《安全防范工程通用规范》</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GB55029-2022</w:t>
      </w:r>
      <w:r>
        <w:rPr>
          <w:rFonts w:hint="eastAsia" w:asciiTheme="minorEastAsia" w:hAnsiTheme="minorEastAsia" w:eastAsiaTheme="minorEastAsia" w:cstheme="minorEastAsia"/>
          <w:color w:val="auto"/>
          <w:sz w:val="24"/>
          <w:szCs w:val="24"/>
          <w:highlight w:val="none"/>
          <w:lang w:eastAsia="zh-CN"/>
        </w:rPr>
        <w:t>）；</w:t>
      </w:r>
    </w:p>
    <w:p w14:paraId="4E42F375">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《建筑内部装修设计防火规范》（GB50222-2017）；</w:t>
      </w:r>
    </w:p>
    <w:p w14:paraId="403F55A6">
      <w:pPr>
        <w:pageBreakBefore w:val="0"/>
        <w:numPr>
          <w:ilvl w:val="0"/>
          <w:numId w:val="7"/>
        </w:numPr>
        <w:tabs>
          <w:tab w:val="left" w:pos="720"/>
          <w:tab w:val="clear" w:pos="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其他相关</w:t>
      </w:r>
      <w:r>
        <w:rPr>
          <w:rFonts w:hint="eastAsia" w:asciiTheme="minorEastAsia" w:hAnsiTheme="minorEastAsia" w:eastAsiaTheme="minorEastAsia" w:cstheme="minorEastAsia"/>
          <w:color w:val="auto"/>
          <w:sz w:val="24"/>
          <w:szCs w:val="24"/>
          <w:highlight w:val="none"/>
        </w:rPr>
        <w:t>专业提供的设计资料。</w:t>
      </w:r>
    </w:p>
    <w:p w14:paraId="03AF9BE1">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3.2设计内容</w:t>
      </w:r>
    </w:p>
    <w:p w14:paraId="262A15F3">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（1）强电包括：照明、插座、动力平面设计以及相应供配电系统设计。</w:t>
      </w:r>
    </w:p>
    <w:p w14:paraId="3B32145F">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（2）空调机组的配电设计。</w:t>
      </w:r>
    </w:p>
    <w:p w14:paraId="0E9D2B7C">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.3变配电系统</w:t>
      </w:r>
    </w:p>
    <w:p w14:paraId="1041602F">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
        </w:rPr>
        <w:t>实验室</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val="en-US" w:eastAsia="zh"/>
        </w:rPr>
        <w:t>中</w:t>
      </w:r>
      <w:r>
        <w:rPr>
          <w:rFonts w:hint="eastAsia" w:asciiTheme="minorEastAsia" w:hAnsiTheme="minorEastAsia" w:eastAsiaTheme="minorEastAsia" w:cstheme="minorEastAsia"/>
          <w:color w:val="auto"/>
          <w:sz w:val="24"/>
          <w:szCs w:val="24"/>
          <w:highlight w:val="none"/>
          <w:lang w:val="en-US" w:eastAsia="zh-CN"/>
        </w:rPr>
        <w:t>必须连续运行的大型仪器设备的用电属特级负荷。重要冷库用电，</w:t>
      </w:r>
      <w:r>
        <w:rPr>
          <w:rFonts w:hint="eastAsia" w:asciiTheme="minorEastAsia" w:hAnsiTheme="minorEastAsia" w:eastAsiaTheme="minorEastAsia" w:cstheme="minorEastAsia"/>
          <w:color w:val="auto"/>
          <w:sz w:val="24"/>
          <w:szCs w:val="24"/>
          <w:highlight w:val="none"/>
          <w:lang w:val="en-US" w:eastAsia="zh"/>
        </w:rPr>
        <w:t>实验室用电</w:t>
      </w:r>
      <w:r>
        <w:rPr>
          <w:rFonts w:hint="eastAsia" w:asciiTheme="minorEastAsia" w:hAnsiTheme="minorEastAsia" w:eastAsiaTheme="minorEastAsia" w:cstheme="minorEastAsia"/>
          <w:color w:val="auto"/>
          <w:sz w:val="24"/>
          <w:szCs w:val="24"/>
          <w:highlight w:val="none"/>
          <w:lang w:val="en-US" w:eastAsia="zh-CN"/>
        </w:rPr>
        <w:t>；上述用电场所的备用照明、疏散指示照明,消防负荷用电等为一级负荷属于一级负荷。除一级负荷外的其他实验室用电，危险化学药品库房、菌（毒）种室、毒害性物品库房、易燃易爆物品库房、等照明,除一级负荷外的保障实验室工作环境的用电。属于</w:t>
      </w:r>
      <w:r>
        <w:rPr>
          <w:rFonts w:hint="eastAsia" w:asciiTheme="minorEastAsia" w:hAnsiTheme="minorEastAsia" w:eastAsiaTheme="minorEastAsia" w:cstheme="minorEastAsia"/>
          <w:color w:val="auto"/>
          <w:sz w:val="24"/>
          <w:szCs w:val="24"/>
          <w:highlight w:val="none"/>
          <w:lang w:val="en-US" w:eastAsia="zh"/>
        </w:rPr>
        <w:t>二</w:t>
      </w:r>
      <w:r>
        <w:rPr>
          <w:rFonts w:hint="eastAsia" w:asciiTheme="minorEastAsia" w:hAnsiTheme="minorEastAsia" w:eastAsiaTheme="minorEastAsia" w:cstheme="minorEastAsia"/>
          <w:color w:val="auto"/>
          <w:sz w:val="24"/>
          <w:szCs w:val="24"/>
          <w:highlight w:val="none"/>
          <w:lang w:val="en-US" w:eastAsia="zh-CN"/>
        </w:rPr>
        <w:t>级负荷；其余普通用电为</w:t>
      </w:r>
      <w:r>
        <w:rPr>
          <w:rFonts w:hint="eastAsia" w:asciiTheme="minorEastAsia" w:hAnsiTheme="minorEastAsia" w:eastAsiaTheme="minorEastAsia" w:cstheme="minorEastAsia"/>
          <w:color w:val="auto"/>
          <w:sz w:val="24"/>
          <w:szCs w:val="24"/>
          <w:highlight w:val="none"/>
          <w:lang w:val="en-US" w:eastAsia="zh"/>
        </w:rPr>
        <w:t>二</w:t>
      </w:r>
      <w:r>
        <w:rPr>
          <w:rFonts w:hint="eastAsia" w:asciiTheme="minorEastAsia" w:hAnsiTheme="minorEastAsia" w:eastAsiaTheme="minorEastAsia" w:cstheme="minorEastAsia"/>
          <w:color w:val="auto"/>
          <w:sz w:val="24"/>
          <w:szCs w:val="24"/>
          <w:highlight w:val="none"/>
          <w:lang w:val="en-US" w:eastAsia="zh-CN"/>
        </w:rPr>
        <w:t>级负荷，消防负荷等级详见消防设计说明专篇。</w:t>
      </w:r>
    </w:p>
    <w:p w14:paraId="46E696E5">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供电电源</w:t>
      </w:r>
    </w:p>
    <w:p w14:paraId="03D39FC8">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①、本工程电源引自院区原有配电房供电。</w:t>
      </w:r>
    </w:p>
    <w:p w14:paraId="2296737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②、对于本大楼中必须保证不间断供电的重要场所、设备与机房配置UPS不间断电源。</w:t>
      </w:r>
    </w:p>
    <w:p w14:paraId="3CFB888D">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低压配电</w:t>
      </w:r>
    </w:p>
    <w:p w14:paraId="2FCF29B5">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（1）、本次改造电源引自低压室低压配电屏，电压为380/220V，频率为50Hz。</w:t>
      </w:r>
    </w:p>
    <w:p w14:paraId="068B7A0A">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(1)、在较大容量的集中负荷或重要负荷从配电室以放射式供电，对向各楼层配电箱的供电均采用树干式方式。</w:t>
      </w:r>
    </w:p>
    <w:p w14:paraId="3A456BD6">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(2)、低压配电设计在竖井内配线，采用电缆，绝缘线穿管等方式。</w:t>
      </w:r>
    </w:p>
    <w:p w14:paraId="3EE25FA5">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
        </w:rPr>
      </w:pPr>
      <w:r>
        <w:rPr>
          <w:rFonts w:hint="eastAsia" w:asciiTheme="minorEastAsia" w:hAnsiTheme="minorEastAsia" w:eastAsiaTheme="minorEastAsia" w:cstheme="minorEastAsia"/>
          <w:color w:val="auto"/>
          <w:sz w:val="24"/>
          <w:szCs w:val="24"/>
          <w:highlight w:val="none"/>
          <w:lang w:val="en-US" w:eastAsia="zh-CN"/>
        </w:rPr>
        <w:t>(4)、消防用电设备配电线路采用矿物绝缘类不燃性电缆或耐火电缆。</w:t>
      </w:r>
    </w:p>
    <w:p w14:paraId="58D0953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p>
    <w:p w14:paraId="324E59BD">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照明设计</w:t>
      </w:r>
    </w:p>
    <w:p w14:paraId="5753A609">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照明灯具主要以LED灯为主。照明灯具设计以《建筑照明设计标准》和《建筑节能与可再生能源利用通用规范》为依据</w:t>
      </w:r>
      <w:r>
        <w:rPr>
          <w:rFonts w:hint="eastAsia" w:asciiTheme="minorEastAsia" w:hAnsiTheme="minorEastAsia" w:eastAsiaTheme="minorEastAsia" w:cstheme="minorEastAsia"/>
          <w:color w:val="auto"/>
          <w:sz w:val="24"/>
          <w:szCs w:val="24"/>
          <w:highlight w:val="none"/>
        </w:rPr>
        <w:t>。</w:t>
      </w:r>
    </w:p>
    <w:p w14:paraId="5330491C">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（2）照明配线：采用塑料铜芯线穿钢管，沿墙、顶、地暗敷。</w:t>
      </w:r>
    </w:p>
    <w:p w14:paraId="131C6923">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（3）照度标准：走廊100LX，等候厅200LX，</w:t>
      </w:r>
      <w:r>
        <w:rPr>
          <w:rFonts w:hint="eastAsia" w:asciiTheme="minorEastAsia" w:hAnsiTheme="minorEastAsia" w:eastAsiaTheme="minorEastAsia" w:cstheme="minorEastAsia"/>
          <w:color w:val="auto"/>
          <w:sz w:val="24"/>
          <w:szCs w:val="24"/>
          <w:highlight w:val="none"/>
          <w:lang w:eastAsia="zh"/>
        </w:rPr>
        <w:t>一般</w:t>
      </w:r>
      <w:r>
        <w:rPr>
          <w:rFonts w:hint="eastAsia" w:asciiTheme="minorEastAsia" w:hAnsiTheme="minorEastAsia" w:eastAsiaTheme="minorEastAsia" w:cstheme="minorEastAsia"/>
          <w:color w:val="auto"/>
          <w:sz w:val="24"/>
          <w:szCs w:val="24"/>
          <w:highlight w:val="none"/>
        </w:rPr>
        <w:t>实验室300LX</w:t>
      </w:r>
      <w:r>
        <w:rPr>
          <w:rFonts w:hint="eastAsia" w:asciiTheme="minorEastAsia" w:hAnsiTheme="minorEastAsia" w:eastAsiaTheme="minorEastAsia" w:cstheme="minorEastAsia"/>
          <w:color w:val="auto"/>
          <w:sz w:val="24"/>
          <w:szCs w:val="24"/>
          <w:highlight w:val="none"/>
          <w:lang w:eastAsia="zh"/>
        </w:rPr>
        <w:t>，精细</w:t>
      </w:r>
      <w:r>
        <w:rPr>
          <w:rFonts w:hint="eastAsia" w:asciiTheme="minorEastAsia" w:hAnsiTheme="minorEastAsia" w:eastAsiaTheme="minorEastAsia" w:cstheme="minorEastAsia"/>
          <w:color w:val="auto"/>
          <w:sz w:val="24"/>
          <w:szCs w:val="24"/>
          <w:highlight w:val="none"/>
        </w:rPr>
        <w:t>实验室</w:t>
      </w:r>
      <w:r>
        <w:rPr>
          <w:rFonts w:hint="eastAsia" w:asciiTheme="minorEastAsia" w:hAnsiTheme="minorEastAsia" w:eastAsiaTheme="minorEastAsia" w:cstheme="minorEastAsia"/>
          <w:color w:val="auto"/>
          <w:sz w:val="24"/>
          <w:szCs w:val="24"/>
          <w:highlight w:val="none"/>
          <w:lang w:eastAsia="zh"/>
        </w:rPr>
        <w:t>5</w:t>
      </w:r>
      <w:r>
        <w:rPr>
          <w:rFonts w:hint="eastAsia" w:asciiTheme="minorEastAsia" w:hAnsiTheme="minorEastAsia" w:eastAsiaTheme="minorEastAsia" w:cstheme="minorEastAsia"/>
          <w:color w:val="auto"/>
          <w:sz w:val="24"/>
          <w:szCs w:val="24"/>
          <w:highlight w:val="none"/>
        </w:rPr>
        <w:t>00LX。</w:t>
      </w:r>
    </w:p>
    <w:p w14:paraId="37362B39">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5线路敷设</w:t>
      </w:r>
    </w:p>
    <w:p w14:paraId="3A662F8B">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楼层配电箱配出线路采用金属线槽敷设，电线或电缆在金属线槽内不得有接头、分支接头，需要接头应在线槽侧加装接线盒连接。由金属线槽引出的线路，应采用金属管或金属软管保护，电线或电缆在引出部分不得遭受损伤。金属线槽的安装详96D301-1《线槽配线安装》（沿梁底明敷设）。</w:t>
      </w:r>
    </w:p>
    <w:p w14:paraId="05398EF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普通支线线路均采用无卤低烟阻燃型电线、电缆穿管或线槽敷设，线槽中间用隔板隔开，载流导体不宜超过30根。平面图上未标注的照明导线根数均表示为3根，至单级开关导线根数均为2根，插座导线根数均表示为3根，应急照明回路导线根数均表示为4根，疏散指示标志回路导线根数均表示为4根导线规格及所穿管径详图或对照系统图。</w:t>
      </w:r>
    </w:p>
    <w:p w14:paraId="2DF799CF">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6设备安装</w:t>
      </w:r>
    </w:p>
    <w:p w14:paraId="0CF047D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（1）平面图中，所有电气管线应详见系统图；</w:t>
      </w:r>
    </w:p>
    <w:p w14:paraId="421837AB">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（2）电线、电缆直埋或在保护管中均不得有接头、分支接头，电线电缆在引出部分不得遭受损伤。</w:t>
      </w:r>
    </w:p>
    <w:p w14:paraId="2F5458D2">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（3）所有穿越楼板、防火分区隔墙的线路，在施工完成后，应按规范要求采用不燃烧材料将其周围的缝隙孔洞填塞密实。电气管线穿过墙体时，孔洞周边应采取密封隔声措施。</w:t>
      </w:r>
    </w:p>
    <w:p w14:paraId="3C202962">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（4）照明支线穿钢管管经如下：WDZ（N）-BYJ-2.5--3根以下穿SC15管，4-7根穿SC25管。</w:t>
      </w:r>
    </w:p>
    <w:p w14:paraId="6D2E46B9">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（5）电缆电线的绝缘耐压水平如下：WDZB1（WDZB1N）-YJY-0.6/1KV；WDZB1（WDZB1N）-BYJ-450/750V；NG-A（BTLY）-0.6/1KV；WDZB1N-KYJY-300/500V</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WDZB1N-RYYP-300/500V；WDZB1N-RYJS-300/500V。</w:t>
      </w:r>
    </w:p>
    <w:p w14:paraId="336677D6">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（6）所有管线在引出桥架、线槽至暗埋至接线盒段穿金属管敷设。管线穿梁预埋孔处结构梁加固做法详见结施设计总说明。</w:t>
      </w:r>
    </w:p>
    <w:p w14:paraId="1FE377A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（7）线路穿过建筑深缩沉降缝时应作相应处理；管线较长或弯道较多宜设拉线盒，并按规范施工。管线过变形缝处应设补偿装置，做法详图集《03D301-3》P40；金属线槽过伸缩缝处做法详图集《96D301-1》P35。</w:t>
      </w:r>
    </w:p>
    <w:p w14:paraId="252949F5">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（8）本工程所有电线电缆燃烧性能应选用燃烧性能B1级、产烟毒性为t</w:t>
      </w:r>
      <w:r>
        <w:rPr>
          <w:rFonts w:hint="eastAsia" w:asciiTheme="minorEastAsia" w:hAnsiTheme="minorEastAsia" w:eastAsiaTheme="minorEastAsia" w:cstheme="minorEastAsia"/>
          <w:color w:val="auto"/>
          <w:sz w:val="24"/>
          <w:szCs w:val="24"/>
          <w:highlight w:val="none"/>
          <w:lang w:eastAsia="zh"/>
        </w:rPr>
        <w:t>0</w:t>
      </w:r>
      <w:r>
        <w:rPr>
          <w:rFonts w:hint="eastAsia" w:asciiTheme="minorEastAsia" w:hAnsiTheme="minorEastAsia" w:eastAsiaTheme="minorEastAsia" w:cstheme="minorEastAsia"/>
          <w:color w:val="auto"/>
          <w:sz w:val="24"/>
          <w:szCs w:val="24"/>
          <w:highlight w:val="none"/>
        </w:rPr>
        <w:t>级、燃烧滴落物／微粒等级为d</w:t>
      </w:r>
      <w:r>
        <w:rPr>
          <w:rFonts w:hint="eastAsia" w:asciiTheme="minorEastAsia" w:hAnsiTheme="minorEastAsia" w:eastAsiaTheme="minorEastAsia" w:cstheme="minorEastAsia"/>
          <w:color w:val="auto"/>
          <w:sz w:val="24"/>
          <w:szCs w:val="24"/>
          <w:highlight w:val="none"/>
          <w:lang w:eastAsia="zh"/>
        </w:rPr>
        <w:t>0</w:t>
      </w:r>
      <w:r>
        <w:rPr>
          <w:rFonts w:hint="eastAsia" w:asciiTheme="minorEastAsia" w:hAnsiTheme="minorEastAsia" w:eastAsiaTheme="minorEastAsia" w:cstheme="minorEastAsia"/>
          <w:color w:val="auto"/>
          <w:sz w:val="24"/>
          <w:szCs w:val="24"/>
          <w:highlight w:val="none"/>
        </w:rPr>
        <w:t>级。所有非矿物绝缘电缆（电线）均穿金属管或封闭式金属桥架敷设，确保吊顶内无电气可燃物。</w:t>
      </w:r>
    </w:p>
    <w:p w14:paraId="3D3177FD">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7防雷接地</w:t>
      </w:r>
    </w:p>
    <w:p w14:paraId="5BB7F7BA">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（1）本工程的UPS电源的中性点应直接接地。</w:t>
      </w:r>
    </w:p>
    <w:p w14:paraId="74B8743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（2）所有进出建筑物的金属管道、电缆金属外皮，在入户处应与接地预埋件焊接，内部公用设施的金属管道也应就近与接地预埋块连接。</w:t>
      </w:r>
    </w:p>
    <w:p w14:paraId="1E8712CD">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本建筑物内电气装置应采用总等电位联结。下列导电部分应采用总等电位联结导体可靠连接，并应在进入建筑物处接向总等电位联结端子板：PE（PEN）干线；电气装置中的接地母线；建筑物内的水管、燃气管、采暖和空调管道等金属管道；可以利用的建筑物金属构件。建筑物总等电位连接方法详《防雷与接地D500~505》。</w:t>
      </w:r>
    </w:p>
    <w:p w14:paraId="2E3AD2ED">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（4）消控中心、监控机房、凡有做气体灭火系统的场所均应作防静电接地。</w:t>
      </w:r>
    </w:p>
    <w:p w14:paraId="7F90C601">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金属线槽的接地做法应符合下列规定：金属线槽应接地可靠，且不得作为其他设备接地的接续导体，线槽全长不应少于2处与接地保护干线相连接。金属线槽全长大于30m时，应每隔20~30m增加与接地保护干线的连结点；线槽的起始端和终点端均应可靠接地。非镀锌线槽连接板的两端应跨接铜芯软线接地线，接地线截面面积不应小于4mm ；镀锌线槽可不跨接接地线，其连接板的螺栓应有防松螺帽或垫圈。</w:t>
      </w:r>
    </w:p>
    <w:p w14:paraId="7513F127">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弱电工程</w:t>
      </w:r>
    </w:p>
    <w:p w14:paraId="78C29631">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3.8.</w:t>
      </w:r>
      <w:r>
        <w:rPr>
          <w:rFonts w:hint="eastAsia" w:asciiTheme="minorEastAsia" w:hAnsiTheme="minorEastAsia" w:eastAsiaTheme="minorEastAsia" w:cstheme="minorEastAsia"/>
          <w:color w:val="auto"/>
          <w:sz w:val="24"/>
          <w:szCs w:val="24"/>
          <w:highlight w:val="none"/>
        </w:rPr>
        <w:t>1、综合系统布线</w:t>
      </w:r>
    </w:p>
    <w:p w14:paraId="212427FC">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（1）所有电话、网络布线均接至本层弱电井内，线头预留约20米，接入大楼配线架。</w:t>
      </w:r>
    </w:p>
    <w:p w14:paraId="766014DA">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（2）电话、网络系统布线均采用六类4对非屏蔽双绞线穿金属敷设，水平长度小于90m。</w:t>
      </w:r>
    </w:p>
    <w:p w14:paraId="48D17E5D">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（3）末端用户信息插座采用RJ45插口，与强电插座水平距离为0.2m。</w:t>
      </w:r>
    </w:p>
    <w:p w14:paraId="1A5B9EB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3.8.</w:t>
      </w:r>
      <w:r>
        <w:rPr>
          <w:rFonts w:hint="eastAsia" w:asciiTheme="minorEastAsia" w:hAnsiTheme="minorEastAsia" w:eastAsiaTheme="minorEastAsia" w:cstheme="minorEastAsia"/>
          <w:color w:val="auto"/>
          <w:sz w:val="24"/>
          <w:szCs w:val="24"/>
          <w:highlight w:val="none"/>
        </w:rPr>
        <w:t>2、视频监控系统</w:t>
      </w:r>
    </w:p>
    <w:p w14:paraId="74F95668">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主要出入口以及重要实验室内设置半球彩色摄像机。</w:t>
      </w:r>
    </w:p>
    <w:p w14:paraId="4DC27B6E">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3.8.</w:t>
      </w:r>
      <w:r>
        <w:rPr>
          <w:rFonts w:hint="eastAsia" w:asciiTheme="minorEastAsia" w:hAnsiTheme="minorEastAsia" w:eastAsiaTheme="minorEastAsia" w:cstheme="minorEastAsia"/>
          <w:color w:val="auto"/>
          <w:sz w:val="24"/>
          <w:szCs w:val="24"/>
          <w:highlight w:val="none"/>
        </w:rPr>
        <w:t>3、门禁系统</w:t>
      </w:r>
    </w:p>
    <w:p w14:paraId="1D6A131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在主要出入口设置门禁，相关工作人员需要通过门禁才能进入。</w:t>
      </w:r>
    </w:p>
    <w:p w14:paraId="4705A6F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3.8.4</w:t>
      </w:r>
      <w:r>
        <w:rPr>
          <w:rFonts w:hint="eastAsia" w:asciiTheme="minorEastAsia" w:hAnsiTheme="minorEastAsia" w:eastAsiaTheme="minorEastAsia" w:cstheme="minorEastAsia"/>
          <w:color w:val="auto"/>
          <w:sz w:val="24"/>
          <w:szCs w:val="24"/>
          <w:highlight w:val="none"/>
        </w:rPr>
        <w:t>、视频探视系统</w:t>
      </w:r>
    </w:p>
    <w:p w14:paraId="5541942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整个系统对大楼各重要通道及出入口、大厅、周边等公共区域、</w:t>
      </w:r>
      <w:r>
        <w:rPr>
          <w:rFonts w:hint="eastAsia" w:asciiTheme="minorEastAsia" w:hAnsiTheme="minorEastAsia" w:eastAsiaTheme="minorEastAsia" w:cstheme="minorEastAsia"/>
          <w:color w:val="auto"/>
          <w:sz w:val="24"/>
          <w:szCs w:val="24"/>
          <w:highlight w:val="none"/>
          <w:lang w:eastAsia="zh"/>
        </w:rPr>
        <w:t>实验室</w:t>
      </w:r>
      <w:r>
        <w:rPr>
          <w:rFonts w:hint="eastAsia" w:asciiTheme="minorEastAsia" w:hAnsiTheme="minorEastAsia" w:eastAsiaTheme="minorEastAsia" w:cstheme="minorEastAsia"/>
          <w:color w:val="auto"/>
          <w:sz w:val="24"/>
          <w:szCs w:val="24"/>
          <w:highlight w:val="none"/>
        </w:rPr>
        <w:t>等重要场所实现图像监控，进行有效监视、监听和记录。</w:t>
      </w:r>
    </w:p>
    <w:p w14:paraId="040B9D88">
      <w:pPr>
        <w:pageBreakBefore w:val="0"/>
        <w:kinsoku/>
        <w:wordWrap/>
        <w:overflowPunct/>
        <w:topLinePunct w:val="0"/>
        <w:bidi w:val="0"/>
        <w:spacing w:line="400" w:lineRule="exact"/>
        <w:textAlignment w:val="auto"/>
        <w:outlineLvl w:val="2"/>
        <w:rPr>
          <w:rFonts w:hint="eastAsia" w:asciiTheme="minorEastAsia" w:hAnsiTheme="minorEastAsia" w:eastAsiaTheme="minorEastAsia" w:cstheme="minorEastAsia"/>
          <w:b/>
          <w:color w:val="auto"/>
          <w:sz w:val="24"/>
          <w:szCs w:val="24"/>
          <w:highlight w:val="none"/>
        </w:rPr>
      </w:pPr>
      <w:bookmarkStart w:id="19" w:name="_Toc98605182"/>
      <w:r>
        <w:rPr>
          <w:rFonts w:hint="eastAsia" w:asciiTheme="minorEastAsia" w:hAnsiTheme="minorEastAsia" w:eastAsiaTheme="minorEastAsia" w:cstheme="minorEastAsia"/>
          <w:b/>
          <w:color w:val="auto"/>
          <w:sz w:val="24"/>
          <w:szCs w:val="24"/>
          <w:highlight w:val="none"/>
          <w:lang w:val="en-US" w:eastAsia="zh-CN"/>
        </w:rPr>
        <w:t>4</w:t>
      </w:r>
      <w:r>
        <w:rPr>
          <w:rFonts w:hint="eastAsia" w:asciiTheme="minorEastAsia" w:hAnsiTheme="minorEastAsia" w:eastAsiaTheme="minorEastAsia" w:cstheme="minorEastAsia"/>
          <w:b/>
          <w:color w:val="auto"/>
          <w:sz w:val="24"/>
          <w:szCs w:val="24"/>
          <w:highlight w:val="none"/>
        </w:rPr>
        <w:t>给排水</w:t>
      </w:r>
      <w:bookmarkEnd w:id="19"/>
    </w:p>
    <w:p w14:paraId="58116EEA">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.1主要设计依据</w:t>
      </w:r>
    </w:p>
    <w:p w14:paraId="667756C6">
      <w:pPr>
        <w:pageBreakBefore w:val="0"/>
        <w:numPr>
          <w:ilvl w:val="0"/>
          <w:numId w:val="8"/>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《建筑给水排水设计标准》（GB50015-2019）；</w:t>
      </w:r>
    </w:p>
    <w:p w14:paraId="38C24A19">
      <w:pPr>
        <w:pageBreakBefore w:val="0"/>
        <w:numPr>
          <w:ilvl w:val="0"/>
          <w:numId w:val="8"/>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《综合医院建筑设计规范》（GB51039-2014）；</w:t>
      </w:r>
    </w:p>
    <w:p w14:paraId="2C2039B9">
      <w:pPr>
        <w:pageBreakBefore w:val="0"/>
        <w:numPr>
          <w:ilvl w:val="0"/>
          <w:numId w:val="8"/>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《污水综合排放标准》（GB8978-1996）；</w:t>
      </w:r>
    </w:p>
    <w:p w14:paraId="72F5F5FD">
      <w:pPr>
        <w:pageBreakBefore w:val="0"/>
        <w:numPr>
          <w:ilvl w:val="0"/>
          <w:numId w:val="8"/>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《医疗机构水污染物排放标准》（GB18466-2005）；</w:t>
      </w:r>
    </w:p>
    <w:p w14:paraId="4B7E94B6">
      <w:pPr>
        <w:pageBreakBefore w:val="0"/>
        <w:numPr>
          <w:ilvl w:val="0"/>
          <w:numId w:val="8"/>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《医院污水处理设计规范》（CECS07-2004）；</w:t>
      </w:r>
    </w:p>
    <w:p w14:paraId="47638EEE">
      <w:pPr>
        <w:pageBreakBefore w:val="0"/>
        <w:numPr>
          <w:ilvl w:val="0"/>
          <w:numId w:val="8"/>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《室外给水设计标准》（GB50013-2018）；</w:t>
      </w:r>
    </w:p>
    <w:p w14:paraId="01C88654">
      <w:pPr>
        <w:pageBreakBefore w:val="0"/>
        <w:numPr>
          <w:ilvl w:val="0"/>
          <w:numId w:val="8"/>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《室外排水设计标准》（GB50014-2021）；</w:t>
      </w:r>
    </w:p>
    <w:p w14:paraId="046A77EB">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《建筑设计防火规范》（GB50016-2014）（2018年版）；</w:t>
      </w:r>
    </w:p>
    <w:p w14:paraId="4D1D877D">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《汽车库、修车库、停车场设计防火规范》（GB50067-2014）；</w:t>
      </w:r>
    </w:p>
    <w:p w14:paraId="5A214A87">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《自动喷水灭火系统设计规范》（GB50084-2017）；</w:t>
      </w:r>
    </w:p>
    <w:p w14:paraId="7160FC62">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《水喷雾灭火系统技术规范》（GB50219-2014）；</w:t>
      </w:r>
    </w:p>
    <w:p w14:paraId="42262208">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《气体灭火系统设计规范》（GB50370-2005）；</w:t>
      </w:r>
    </w:p>
    <w:p w14:paraId="3B7F09DE">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《建筑灭火器配置设计规范》（GB50140-2005）；</w:t>
      </w:r>
    </w:p>
    <w:p w14:paraId="00A9E372">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《消防给水及消火栓系统技术规范》（GB50974-2014）；</w:t>
      </w:r>
    </w:p>
    <w:p w14:paraId="3BA28DCC">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《建筑给水排水与节水通用规范》（GB55020-2021）；</w:t>
      </w:r>
    </w:p>
    <w:p w14:paraId="1ABC567D">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《建筑节能与可再生能源利用通用规范》（GB55015-2021）；</w:t>
      </w:r>
    </w:p>
    <w:p w14:paraId="2574DAB2">
      <w:pPr>
        <w:pageBreakBefore w:val="0"/>
        <w:numPr>
          <w:ilvl w:val="0"/>
          <w:numId w:val="8"/>
        </w:numPr>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其他与本工程有关的国家和地方规范。</w:t>
      </w:r>
    </w:p>
    <w:p w14:paraId="6AF1D334">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.2设计内容</w:t>
      </w:r>
    </w:p>
    <w:p w14:paraId="6ADB7EA5">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（1）设计范围</w:t>
      </w:r>
    </w:p>
    <w:p w14:paraId="3566FD12">
      <w:pPr>
        <w:keepNext w:val="0"/>
        <w:keepLines w:val="0"/>
        <w:pageBreakBefore w:val="0"/>
        <w:widowControl w:val="0"/>
        <w:suppressLineNumbers w:val="0"/>
        <w:kinsoku/>
        <w:wordWrap/>
        <w:overflowPunct/>
        <w:topLinePunct w:val="0"/>
        <w:bidi w:val="0"/>
        <w:spacing w:before="0" w:beforeAutospacing="0" w:after="0" w:afterAutospacing="0" w:line="400" w:lineRule="exact"/>
        <w:ind w:left="0" w:right="0" w:firstLine="480" w:firstLineChars="200"/>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生活给水系统、</w:t>
      </w:r>
      <w:r>
        <w:rPr>
          <w:rFonts w:hint="eastAsia" w:asciiTheme="minorEastAsia" w:hAnsiTheme="minorEastAsia" w:eastAsiaTheme="minorEastAsia" w:cstheme="minorEastAsia"/>
          <w:color w:val="auto"/>
          <w:sz w:val="24"/>
          <w:szCs w:val="24"/>
          <w:highlight w:val="none"/>
          <w:lang w:val="en-US" w:eastAsia="zh-CN"/>
        </w:rPr>
        <w:t>消防给水系统、</w:t>
      </w:r>
      <w:r>
        <w:rPr>
          <w:rFonts w:hint="eastAsia" w:asciiTheme="minorEastAsia" w:hAnsiTheme="minorEastAsia" w:eastAsiaTheme="minorEastAsia" w:cstheme="minorEastAsia"/>
          <w:color w:val="auto"/>
          <w:sz w:val="24"/>
          <w:szCs w:val="24"/>
          <w:highlight w:val="none"/>
        </w:rPr>
        <w:t>生活污废水排水系统、医疗废水及纯水系统。</w:t>
      </w:r>
    </w:p>
    <w:p w14:paraId="3D273662">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3给排水</w:t>
      </w:r>
    </w:p>
    <w:p w14:paraId="3D23F39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本次设计内容为装修提升工程，设备材料均利用原有已建设备。</w:t>
      </w:r>
    </w:p>
    <w:p w14:paraId="390DFDB3">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4冷</w:t>
      </w:r>
      <w:r>
        <w:rPr>
          <w:rFonts w:hint="eastAsia" w:asciiTheme="minorEastAsia" w:hAnsiTheme="minorEastAsia" w:eastAsiaTheme="minorEastAsia" w:cstheme="minorEastAsia"/>
          <w:color w:val="auto"/>
          <w:sz w:val="24"/>
          <w:szCs w:val="24"/>
          <w:highlight w:val="none"/>
          <w:lang w:val="en-US" w:eastAsia="zh"/>
        </w:rPr>
        <w:t>热</w:t>
      </w:r>
      <w:r>
        <w:rPr>
          <w:rFonts w:hint="eastAsia" w:asciiTheme="minorEastAsia" w:hAnsiTheme="minorEastAsia" w:eastAsiaTheme="minorEastAsia" w:cstheme="minorEastAsia"/>
          <w:color w:val="auto"/>
          <w:sz w:val="24"/>
          <w:szCs w:val="24"/>
          <w:highlight w:val="none"/>
          <w:lang w:val="en-US" w:eastAsia="zh-CN"/>
        </w:rPr>
        <w:t>水系统</w:t>
      </w:r>
    </w:p>
    <w:p w14:paraId="62FB6175">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本次提升不改变主体给</w:t>
      </w:r>
      <w:r>
        <w:rPr>
          <w:rFonts w:hint="eastAsia" w:asciiTheme="minorEastAsia" w:hAnsiTheme="minorEastAsia" w:eastAsiaTheme="minorEastAsia" w:cstheme="minorEastAsia"/>
          <w:color w:val="auto"/>
          <w:sz w:val="24"/>
          <w:szCs w:val="24"/>
          <w:highlight w:val="none"/>
          <w:lang w:val="en-US" w:eastAsia="zh"/>
        </w:rPr>
        <w:t>热</w:t>
      </w:r>
      <w:r>
        <w:rPr>
          <w:rFonts w:hint="eastAsia" w:asciiTheme="minorEastAsia" w:hAnsiTheme="minorEastAsia" w:eastAsiaTheme="minorEastAsia" w:cstheme="minorEastAsia"/>
          <w:color w:val="auto"/>
          <w:sz w:val="24"/>
          <w:szCs w:val="24"/>
          <w:highlight w:val="none"/>
          <w:lang w:val="en-US" w:eastAsia="zh-CN"/>
        </w:rPr>
        <w:t>水系统的给水分区、给水主要立管，仅根据布局调整生活给水系统末端管网，接自原有建筑已有给水管道，本次提升不改变其主体系统。</w:t>
      </w:r>
    </w:p>
    <w:p w14:paraId="124EA5FD">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5污水系统</w:t>
      </w:r>
    </w:p>
    <w:p w14:paraId="18AF44DD">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排水接自原有建筑已有排水管道，排水立管尽量利旧，支管根据建筑平面调整，本次提升不改变其主体系统。</w:t>
      </w:r>
    </w:p>
    <w:p w14:paraId="414AE6ED">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
        </w:rPr>
        <w:t>6消防</w:t>
      </w:r>
      <w:r>
        <w:rPr>
          <w:rFonts w:hint="eastAsia" w:asciiTheme="minorEastAsia" w:hAnsiTheme="minorEastAsia" w:eastAsiaTheme="minorEastAsia" w:cstheme="minorEastAsia"/>
          <w:color w:val="auto"/>
          <w:sz w:val="24"/>
          <w:szCs w:val="24"/>
          <w:highlight w:val="none"/>
          <w:lang w:val="en-US" w:eastAsia="zh-CN"/>
        </w:rPr>
        <w:t>系统</w:t>
      </w:r>
    </w:p>
    <w:p w14:paraId="7D945097">
      <w:pPr>
        <w:pageBreakBefore w:val="0"/>
        <w:numPr>
          <w:ilvl w:val="0"/>
          <w:numId w:val="0"/>
        </w:numPr>
        <w:tabs>
          <w:tab w:val="left" w:pos="720"/>
        </w:tabs>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4.6.1室内消火栓系统：</w:t>
      </w:r>
    </w:p>
    <w:p w14:paraId="5A1CC420">
      <w:pPr>
        <w:pageBreakBefore w:val="0"/>
        <w:numPr>
          <w:ilvl w:val="0"/>
          <w:numId w:val="9"/>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本工程室内消火栓系统采用临时高压给水系统。</w:t>
      </w:r>
    </w:p>
    <w:p w14:paraId="1357375F">
      <w:pPr>
        <w:pageBreakBefore w:val="0"/>
        <w:numPr>
          <w:ilvl w:val="0"/>
          <w:numId w:val="9"/>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室内消火栓管道呈环状布置，每层消火栓布置均满足火灾时任一部位有两股水柱同时到达，消火栓栓口压力不小于0.25MPa，水枪设计充实水柱不小于10m。</w:t>
      </w:r>
    </w:p>
    <w:p w14:paraId="406AFFD7">
      <w:pPr>
        <w:pageBreakBefore w:val="0"/>
        <w:numPr>
          <w:ilvl w:val="0"/>
          <w:numId w:val="9"/>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工程单栓消火栓箱具体是否采用组合柜式详建施，当建筑无明确要求时，均选择组合柜式消火栓箱。单栓组合柜式消火栓采用：SG20E65Z-J型铝合金消防箱（箱门为有机铝塑板），箱内配SN65消火栓一个，QZ19水枪一支，DN65（L=25m）麻质衬胶水带一条,消防软管卷盘一套，软管长度30m，报警按钮及指示灯一只。单栓非组合柜式消火栓采用：SG20B65Z-J型铝合金消防箱（箱门为有机铝塑板），箱内配SN65消火栓一个，QZ19水枪一支，DN65（L=25m）麻质衬胶水带一条,消防软管卷盘一套，软管长度30m，报警按钮及指示灯一只。</w:t>
      </w:r>
    </w:p>
    <w:p w14:paraId="59AC2795">
      <w:pPr>
        <w:pageBreakBefore w:val="0"/>
        <w:numPr>
          <w:ilvl w:val="0"/>
          <w:numId w:val="9"/>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室内消火栓安装详国标15S202，栓口离地高度1.1m，栓口与墙面垂直，尽量暗装或半明装，当处于防火分区防火墙,与疏散楼梯相隔的防火墙时,半暗装消火栓箱箱体背部墙体厚度不小于120mm，且应满足3小时耐火极限要求。所有消火栓箱体外露尖角应做外包裹防磕碰处理。</w:t>
      </w:r>
    </w:p>
    <w:p w14:paraId="46804842">
      <w:pPr>
        <w:pageBreakBefore w:val="0"/>
        <w:numPr>
          <w:ilvl w:val="0"/>
          <w:numId w:val="9"/>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单体支管动压压力超过0.70MPa的消火栓采用减压稳压型消火栓，单体支管动压压力为0.5~70MPa的消火栓采用减压孔板减压，消火栓栓口压力不小于0.25MPa。</w:t>
      </w:r>
    </w:p>
    <w:p w14:paraId="52D07647">
      <w:pPr>
        <w:pageBreakBefore w:val="0"/>
        <w:numPr>
          <w:ilvl w:val="0"/>
          <w:numId w:val="9"/>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室内消火栓系统已设有若干套消火栓水泵接合器，并与室内消火栓环状管网相连，具体位置详室外给排水总平面图。</w:t>
      </w:r>
    </w:p>
    <w:p w14:paraId="69A74719">
      <w:pPr>
        <w:pageBreakBefore w:val="0"/>
        <w:numPr>
          <w:ilvl w:val="0"/>
          <w:numId w:val="9"/>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室内消火栓系统安装完成后应取屋顶层（或水箱间内）试验消火栓和首层取二处消火栓做试射试验，达到设计要求为合格。</w:t>
      </w:r>
    </w:p>
    <w:p w14:paraId="0F5C584B">
      <w:pPr>
        <w:pageBreakBefore w:val="0"/>
        <w:numPr>
          <w:ilvl w:val="0"/>
          <w:numId w:val="0"/>
        </w:numPr>
        <w:tabs>
          <w:tab w:val="left" w:pos="720"/>
        </w:tabs>
        <w:kinsoku/>
        <w:wordWrap/>
        <w:overflowPunct/>
        <w:topLinePunct w:val="0"/>
        <w:bidi w:val="0"/>
        <w:spacing w:line="400" w:lineRule="exact"/>
        <w:ind w:left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4.6.2自动喷水灭火系统：</w:t>
      </w:r>
    </w:p>
    <w:p w14:paraId="3BD57DBE">
      <w:pPr>
        <w:pageBreakBefore w:val="0"/>
        <w:numPr>
          <w:ilvl w:val="0"/>
          <w:numId w:val="10"/>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本工程自动喷水灭火系统为湿式系统，采用临时高压制供水。本工程的自动喷淋系统按中危险级I级，喷水强度按6.0L/min.m2，作用面积按160m2，其用水量约为30L/S，灭火时间为1.0小时</w:t>
      </w:r>
    </w:p>
    <w:p w14:paraId="46C9547E">
      <w:pPr>
        <w:pageBreakBefore w:val="0"/>
        <w:numPr>
          <w:ilvl w:val="0"/>
          <w:numId w:val="10"/>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本工程自动喷淋系统最不利点喷头设计工作压力为0.10MPa。</w:t>
      </w:r>
    </w:p>
    <w:p w14:paraId="11940845">
      <w:pPr>
        <w:pageBreakBefore w:val="0"/>
        <w:numPr>
          <w:ilvl w:val="0"/>
          <w:numId w:val="10"/>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本工程报警阀间内报警阀后连接喷头数小于800个。每个报警阀组控制的最不利点喷头处，应设末端试水装置，每层每个防火分区的最不利点喷头处，均设直径为25mm的试水阀。</w:t>
      </w:r>
    </w:p>
    <w:p w14:paraId="7AF8283D">
      <w:pPr>
        <w:pageBreakBefore w:val="0"/>
        <w:numPr>
          <w:ilvl w:val="0"/>
          <w:numId w:val="10"/>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本工程每个防火分区及楼层均设水流指示器，型号为ZSJZ-150-80。水流指示器前均装有XZF信号蝶阀，安装详其产品说明。 水流指示器、信号闸阀信号应传至消控中心，安装详20S206。喷淋立管顶设有自动排气阀，支管前端设有泄水阀，末端设试水装置或试水阀。末端试水装置的试水接头采用流量系数K=80的标准试水喷头,各末端试水阀或末端试水装置,均应配带锁具的阀门箱。</w:t>
      </w:r>
    </w:p>
    <w:p w14:paraId="525E1384">
      <w:pPr>
        <w:pageBreakBefore w:val="0"/>
        <w:numPr>
          <w:ilvl w:val="0"/>
          <w:numId w:val="10"/>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工程有吊顶区域采用吊顶型喷头，流量系数K=80，朝下安装；无吊顶区域采用直立型喷头，流量系数K=80，朝上安装；侧喷喷头选择边墙型扩大覆盖面积洒水喷头，流量系数为K115，工作压力为0.1MPa；喷淋系统应有备用喷头，其数量不小于总数的1％，且每种喷头不小于10只。厨房或高温区域内的喷头动作温度为 93°C，其他区域采用动作温度为68℃的喷头。本工程地上部分均采用快速响应喷头。</w:t>
      </w:r>
    </w:p>
    <w:p w14:paraId="10A20FC9">
      <w:pPr>
        <w:pageBreakBefore w:val="0"/>
        <w:numPr>
          <w:ilvl w:val="0"/>
          <w:numId w:val="10"/>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当梁、通风管道、排管、桥架等障碍物的宽度大于1.2m时，其下方应增设喷头且其上方若有缝隙应设集热板；净空高度≥800mm的吊顶内且有可燃物的情况下应设置直立型洒水喷头保护。当同时满足下列情况时，吊顶内可不设置洒水喷头：a，吊顶内敷设的配电线路采用不燃材料套管或封闭式金属线槽保护；b，风管保温材料等采用不燃、难燃材料制作；c，无其他可燃物。 </w:t>
      </w:r>
    </w:p>
    <w:p w14:paraId="11CEBDD6">
      <w:pPr>
        <w:pageBreakBefore w:val="0"/>
        <w:numPr>
          <w:ilvl w:val="0"/>
          <w:numId w:val="10"/>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除吊顶型洒水喷头及吊顶下设置的洒水喷头外，直立型、下垂型标准覆盖面积洒水喷头和扩大覆盖面积洒水喷头溅水盘与顶板的距离应为75mm～150mm，与喷头连接的短管管径为DN25。</w:t>
      </w:r>
    </w:p>
    <w:p w14:paraId="7F79B967">
      <w:pPr>
        <w:pageBreakBefore w:val="0"/>
        <w:numPr>
          <w:ilvl w:val="0"/>
          <w:numId w:val="10"/>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空气洁净度在B级及以上医药洁净室，不设置喷头。</w:t>
      </w:r>
    </w:p>
    <w:p w14:paraId="7A37B88C">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eastAsia="zh"/>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
        </w:rPr>
        <w:t>7 纯水系统</w:t>
      </w:r>
    </w:p>
    <w:p w14:paraId="39571B5B">
      <w:pPr>
        <w:pageBreakBefore w:val="0"/>
        <w:numPr>
          <w:ilvl w:val="0"/>
          <w:numId w:val="11"/>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本工程纯水系统出水水质应符合《中华人民共和国药典》的质量标准，水系统应满足GMP认证。</w:t>
      </w:r>
    </w:p>
    <w:p w14:paraId="766B3B00">
      <w:pPr>
        <w:pageBreakBefore w:val="0"/>
        <w:numPr>
          <w:ilvl w:val="0"/>
          <w:numId w:val="11"/>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纯化水储罐及输送管道所用材料应无毒、耐腐蚀，管道的设计及安装应避免死角及盲管。</w:t>
      </w:r>
    </w:p>
    <w:p w14:paraId="5E6BBB82">
      <w:pPr>
        <w:pageBreakBefore w:val="0"/>
        <w:numPr>
          <w:ilvl w:val="0"/>
          <w:numId w:val="11"/>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应对水源的水质及纯水水质进行定期监测，并有相应记录。</w:t>
      </w:r>
    </w:p>
    <w:p w14:paraId="08BBA568">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eastAsia="zh"/>
        </w:rPr>
      </w:pPr>
    </w:p>
    <w:p w14:paraId="359EAE13">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
        </w:rPr>
        <w:t xml:space="preserve">8 </w:t>
      </w:r>
      <w:r>
        <w:rPr>
          <w:rFonts w:hint="eastAsia" w:asciiTheme="minorEastAsia" w:hAnsiTheme="minorEastAsia" w:eastAsiaTheme="minorEastAsia" w:cstheme="minorEastAsia"/>
          <w:color w:val="auto"/>
          <w:sz w:val="24"/>
          <w:szCs w:val="24"/>
          <w:highlight w:val="none"/>
          <w:lang w:val="en-US" w:eastAsia="zh-CN"/>
        </w:rPr>
        <w:t>管材及设备</w:t>
      </w:r>
    </w:p>
    <w:p w14:paraId="1296AA0D">
      <w:pPr>
        <w:pageBreakBefore w:val="0"/>
        <w:numPr>
          <w:ilvl w:val="0"/>
          <w:numId w:val="0"/>
        </w:numPr>
        <w:tabs>
          <w:tab w:val="left" w:pos="720"/>
        </w:tabs>
        <w:kinsoku/>
        <w:wordWrap/>
        <w:overflowPunct/>
        <w:topLinePunct w:val="0"/>
        <w:bidi w:val="0"/>
        <w:spacing w:line="400" w:lineRule="exact"/>
        <w:ind w:left="540" w:left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4.8.1室内管材选用：</w:t>
      </w:r>
    </w:p>
    <w:p w14:paraId="05EEB849">
      <w:pPr>
        <w:pageBreakBefore w:val="0"/>
        <w:numPr>
          <w:ilvl w:val="0"/>
          <w:numId w:val="12"/>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室内冷热给水管采用优质304不锈钢给水管，卡压式连接。纯水管道采用优质316不锈钢给水管，卡压式连接。  </w:t>
      </w:r>
    </w:p>
    <w:p w14:paraId="25A98FC3">
      <w:pPr>
        <w:pageBreakBefore w:val="0"/>
        <w:numPr>
          <w:ilvl w:val="0"/>
          <w:numId w:val="12"/>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集水坑等压力排水管采用镀锌钢管,耐压等级不低于 1.0MPa,DN≤100采用丝扣连接,DN&gt;100采用法兰连接.</w:t>
      </w:r>
    </w:p>
    <w:p w14:paraId="29CA9280">
      <w:pPr>
        <w:pageBreakBefore w:val="0"/>
        <w:numPr>
          <w:ilvl w:val="0"/>
          <w:numId w:val="12"/>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室内污、废、雨水管道及相关通气管道采用PP超静音排水管，柔性承插连接。高温排水管采用不锈钢管，焊接连接。排水管道及管件的材质应耐腐蚀，应具有承受不低于40C排水温度且连续排水的耐温能力。接口安装连接应可靠、安全。</w:t>
      </w:r>
    </w:p>
    <w:p w14:paraId="4366AEBD">
      <w:pPr>
        <w:pageBreakBefore w:val="0"/>
        <w:numPr>
          <w:ilvl w:val="0"/>
          <w:numId w:val="12"/>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室内消火栓管材：采用内外热镀锌钢管及配件，管道工作压力不低于1.2MPa；喷淋系统管材：报警阀前采用加厚内外热镀锌钢管及配件，管道工作压力不低于1.6MPa；报警阀后采用普通内外热镀锌钢管及配件，管道工作压力不低于1.2MPa；管径&gt;50采用沟槽连接，≦50采用螺纹连接。水平管道上沟槽式连接件间的管道长度不大于20m,立管上沟槽式连接件间的距离不应跨越3个及以上楼层。 </w:t>
      </w:r>
    </w:p>
    <w:p w14:paraId="240A42E2">
      <w:pPr>
        <w:pageBreakBefore w:val="0"/>
        <w:numPr>
          <w:ilvl w:val="0"/>
          <w:numId w:val="0"/>
        </w:numPr>
        <w:tabs>
          <w:tab w:val="left" w:pos="720"/>
        </w:tabs>
        <w:kinsoku/>
        <w:wordWrap/>
        <w:overflowPunct/>
        <w:topLinePunct w:val="0"/>
        <w:bidi w:val="0"/>
        <w:spacing w:line="400" w:lineRule="exact"/>
        <w:ind w:left="540" w:left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4.8.2设备</w:t>
      </w:r>
    </w:p>
    <w:p w14:paraId="1F937A9A">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小便器采用感应式冲洗阀；值班室内坐式大便器采用不大于5L的双档水箱坐便器（自带防污器），值班室内洗手盆采用单柄调温龙头；</w:t>
      </w:r>
    </w:p>
    <w:p w14:paraId="5DD9C03D">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公共卫生间（含无障碍）内坐式大便器采用不大于5L的双档水箱坐便器（感应式冲洗，自带防污器），蹲式大便器采用液压脚踏开关低水箱蹲式大便器；公共卫生间、会议室、办公室、等公共区域内的洗脸盆或洗手盆均采用感应式调温龙头，并应采用防止污水外溅的洗涤盆。存在感染风险的微生物实验室采用鹅颈式红外线感应式水龙头，其余实验室化验盆及中央台化验盆采用三联实验龙头加PP材质化验盆。</w:t>
      </w:r>
    </w:p>
    <w:p w14:paraId="63E129DA">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所有配置的生活用水器具应保证产品质量，严禁使用淘汰产品，应采用节水型卫生器具,其产品的技术性能应符合国家城镇建设行业标准</w:t>
      </w:r>
    </w:p>
    <w:p w14:paraId="47945E57">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《节水型生活用水器具》CJ/T164-2014和国家标准《节水型产品技术条件与管理通则》（GB18870）的要求，并应具有产品合格证，严禁选用违反强制性条文技术标准规定的生活用水器具、设备及配件。</w:t>
      </w:r>
    </w:p>
    <w:p w14:paraId="5EC3D635">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严禁生活饮用水管道与大便器、小便斗采用非专用冲洗阀直接连接冲洗。</w:t>
      </w:r>
    </w:p>
    <w:p w14:paraId="569FFEAA">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卫生洁具或地漏内未带水封装置的，其排水支管上应设存水弯；卫生洁具或地漏内已带水封装置的,其排水支管上不应再设存水弯;存水弯水封深度应大于50mm。空调机房、新风机房、纯水机房等位置的地漏采用防干涸地漏带存水弯；淋浴地漏选用直冲式地漏,洗衣机地漏选用直通式地漏 (带插口篦子),卫生间地面排水选用密闭地漏,食堂.公共厨房和公共浴室排水选用网框式地漏.地漏采用不锈钢地漏,除洗衣机、淋浴等常排水部位的地漏外，应选用具有防干涸功能的地漏；严禁采用活动机械活瓣替代水封。严禁采用钟式结构地漏。</w:t>
      </w:r>
    </w:p>
    <w:p w14:paraId="24783BF5">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卫生洁具的定位尺寸以建筑施工图的大样图为准，卫生洁具配管的安装高度除特别注明外，均参见国家标准图集《卫生设备安装》(09S304)安装。卫生器具和用水设备、构筑物等的生活饮用水管配水件出水口应符合下列规定：a、出水口不得被任何液体或杂质所淹没；b、出水口高出承接用水容器溢流边缘的最小空气间隙，不得小于出水口直径的2.5倍。</w:t>
      </w:r>
    </w:p>
    <w:p w14:paraId="693A2353">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残疾人卫生器具选型及安装应满足《无障碍设计规范》GB50763-2012的要求，小便器下口距地面不大于0.40m，坐便器高0.45m，浴盆高0.45m。</w:t>
      </w:r>
    </w:p>
    <w:p w14:paraId="59926148">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下列场所的用水点应采用非手动开关,并应采取防止污水外溅的措施:1）公共卫生间的洗手盆、小便斗、大便器；2）护士站、治疗室、中心（消毒）供应室、监护病房等房间的洗手盆；3）产房、手术刷手池、无菌室、血液病房和烧伤病房等房间的洗手盆；4）诊室、检验科等房间的洗手盆；5）有无菌要求或防止院内感染场所的卫生器具。</w:t>
      </w:r>
    </w:p>
    <w:p w14:paraId="5B1AE54E">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用非手动开关的用水点应符合下列要求:1）公共卫生间的洗手盆宜采用感应自动水龙头，小便斗宜采用自动冲洗阀,蹲式大便器宜采用脚踏式自闭冲洗阀或感应冲洗阀。2）护士站、治疗室、洁净室和消毒供应中心、监护病房和烧伤病房等房间的洗手盆,应采用感应自动、膝动或肘动开关水龙头。3）产房、手术刷手池、洁净无菌室、血液病房和烧伤病房等房间的洗手盆，应采用感应自动水龙头。4）有无菌要求或防止院内感染场所的卫生器具,应按本条第1款~第3款要求选择水龙头或冲洗阀。</w:t>
      </w:r>
    </w:p>
    <w:p w14:paraId="1F8B3579">
      <w:pPr>
        <w:pageBreakBefore w:val="0"/>
        <w:numPr>
          <w:ilvl w:val="0"/>
          <w:numId w:val="13"/>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无障碍卫生间需采用感应式水嘴、感应式冲洗阀；坐便器水箱控制装置应位于易于触及的位置，应可自动操作或单手操作;洗手盆水嘴中心距侧墙不应小于550mm；控制淋浴的开关距地面高度不应大于1.00m，应设置一个手持的喷头，其支架高度距地面高度不应大于1.20m，淋浴软管长度不应小于 1.50m。</w:t>
      </w:r>
    </w:p>
    <w:p w14:paraId="28BA07C0">
      <w:pPr>
        <w:pageBreakBefore w:val="0"/>
        <w:numPr>
          <w:ilvl w:val="0"/>
          <w:numId w:val="0"/>
        </w:numPr>
        <w:tabs>
          <w:tab w:val="left" w:pos="720"/>
        </w:tabs>
        <w:kinsoku/>
        <w:wordWrap/>
        <w:overflowPunct/>
        <w:topLinePunct w:val="0"/>
        <w:bidi w:val="0"/>
        <w:spacing w:line="400" w:lineRule="exact"/>
        <w:ind w:left="540" w:left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4.8.3水表</w:t>
      </w:r>
    </w:p>
    <w:p w14:paraId="2890CB98">
      <w:pPr>
        <w:pageBreakBefore w:val="0"/>
        <w:numPr>
          <w:ilvl w:val="0"/>
          <w:numId w:val="14"/>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水表均采用远传式水表，示数接至控制室。</w:t>
      </w:r>
    </w:p>
    <w:p w14:paraId="72BD03D1">
      <w:pPr>
        <w:pageBreakBefore w:val="0"/>
        <w:numPr>
          <w:ilvl w:val="0"/>
          <w:numId w:val="14"/>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水表应保证产品质量，读数准确，严禁使用淘汰产品。</w:t>
      </w:r>
    </w:p>
    <w:p w14:paraId="624B0FF4">
      <w:pPr>
        <w:pageBreakBefore w:val="0"/>
        <w:numPr>
          <w:ilvl w:val="0"/>
          <w:numId w:val="0"/>
        </w:numPr>
        <w:tabs>
          <w:tab w:val="left" w:pos="720"/>
        </w:tabs>
        <w:kinsoku/>
        <w:wordWrap/>
        <w:overflowPunct/>
        <w:topLinePunct w:val="0"/>
        <w:bidi w:val="0"/>
        <w:spacing w:line="400" w:lineRule="exact"/>
        <w:ind w:left="540" w:left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4.8.4阀门</w:t>
      </w:r>
    </w:p>
    <w:p w14:paraId="05676FC9">
      <w:pPr>
        <w:pageBreakBefore w:val="0"/>
        <w:numPr>
          <w:ilvl w:val="0"/>
          <w:numId w:val="15"/>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阀门选用:≤DN50采用截止阀,&gt;DN50采用闸阀.阀体采用全不锈钢或铁壳铜芯阀门，阀门和配件的工作压力应大于或等于其所在管段的管道系统的工作压力。安装前应逐个做强度和严密性试验。</w:t>
      </w:r>
    </w:p>
    <w:p w14:paraId="4535DE6D">
      <w:pPr>
        <w:pageBreakBefore w:val="0"/>
        <w:numPr>
          <w:ilvl w:val="0"/>
          <w:numId w:val="15"/>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消防系统阀门均应有明显启闭标志，其设置的位置应有永久性固定标识。</w:t>
      </w:r>
    </w:p>
    <w:p w14:paraId="00F067FD">
      <w:pPr>
        <w:pageBreakBefore w:val="0"/>
        <w:numPr>
          <w:ilvl w:val="0"/>
          <w:numId w:val="15"/>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纯水管道采用公称压力1.0MPa的316不锈钢</w:t>
      </w:r>
      <w:r>
        <w:rPr>
          <w:rFonts w:hint="eastAsia" w:asciiTheme="minorEastAsia" w:hAnsiTheme="minorEastAsia" w:eastAsiaTheme="minorEastAsia" w:cstheme="minorEastAsia"/>
          <w:color w:val="auto"/>
          <w:sz w:val="24"/>
          <w:szCs w:val="24"/>
          <w:highlight w:val="none"/>
          <w:lang w:val="en-US" w:eastAsia="zh"/>
        </w:rPr>
        <w:t>球</w:t>
      </w:r>
      <w:r>
        <w:rPr>
          <w:rFonts w:hint="eastAsia" w:asciiTheme="minorEastAsia" w:hAnsiTheme="minorEastAsia" w:eastAsiaTheme="minorEastAsia" w:cstheme="minorEastAsia"/>
          <w:color w:val="auto"/>
          <w:sz w:val="24"/>
          <w:szCs w:val="24"/>
          <w:highlight w:val="none"/>
          <w:lang w:val="en-US" w:eastAsia="zh-CN"/>
        </w:rPr>
        <w:t>阀。</w:t>
      </w:r>
    </w:p>
    <w:p w14:paraId="30C02CD9">
      <w:pPr>
        <w:pageBreakBefore w:val="0"/>
        <w:numPr>
          <w:ilvl w:val="0"/>
          <w:numId w:val="0"/>
        </w:numPr>
        <w:tabs>
          <w:tab w:val="left" w:pos="720"/>
        </w:tabs>
        <w:kinsoku/>
        <w:wordWrap/>
        <w:overflowPunct/>
        <w:topLinePunct w:val="0"/>
        <w:bidi w:val="0"/>
        <w:spacing w:line="400" w:lineRule="exact"/>
        <w:ind w:leftChars="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
        </w:rPr>
        <w:t>9</w:t>
      </w:r>
      <w:r>
        <w:rPr>
          <w:rFonts w:hint="eastAsia" w:asciiTheme="minorEastAsia" w:hAnsiTheme="minorEastAsia" w:eastAsiaTheme="minorEastAsia" w:cstheme="minorEastAsia"/>
          <w:color w:val="auto"/>
          <w:sz w:val="24"/>
          <w:szCs w:val="24"/>
          <w:highlight w:val="none"/>
          <w:lang w:val="en-US" w:eastAsia="zh-CN"/>
        </w:rPr>
        <w:t xml:space="preserve"> 配合土建要求及管道安装:</w:t>
      </w:r>
    </w:p>
    <w:p w14:paraId="3483294B">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要求在土建施工时认真做好预留预埋等配合工作,不得有遗漏或偏差,保证施工安装工程质量.</w:t>
      </w:r>
    </w:p>
    <w:p w14:paraId="1FDF3869">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管道穿基础.穿楼板.穿水池壁及顶板.穿梁穿屋面等应在土建施工时及时准确地预留孔洞预埋套管.防渗件等,穿楼板预埋防渗透预埋件;穿屋面板防水套管采用国标02S404刚性防水套管,管道穿楼板、防火分区处管道洞口应采用不燃烧材料堵塞密实，作好防火隔音封堵。管道井应每层封堵，做法详见建筑专业；管道穿楼板、防火分区处管道洞口应采用不燃烧材料堵塞密实，作好防火隔音封堵做法详04S301-113-116.</w:t>
      </w:r>
    </w:p>
    <w:p w14:paraId="0E00F057">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室内外给排水管道施工要求按国标 GB50242-2002&lt;&lt;建筑给水排水及采暖工程施工质量验收规范&gt;&gt;有关条文执行。</w:t>
      </w:r>
    </w:p>
    <w:p w14:paraId="28BCAF5B">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沿墙横支管采用钩钉或支架固定,按国标03S402(55-24~34)制作安装,固定点间距应符合相关技术规程规定。</w:t>
      </w:r>
    </w:p>
    <w:p w14:paraId="015BCE4F">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立管支架参照国标 03S402(53-47~49)施工,立管支架间距按各管材相关技术规程执行,支架应与其管材配套。</w:t>
      </w:r>
    </w:p>
    <w:p w14:paraId="7E5F7091">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架空管道吊架参照国标03S402(55-4~16)施工并在土建施工时预埋吊架根部预埋件或采用膨胀螺栓固.吊架间距按各管材相关技术规程执行,支架应与其管材配套。</w:t>
      </w:r>
    </w:p>
    <w:p w14:paraId="67BA15FE">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排水横管敷设坡度除图中注明外i=0.026，排水管坡度参照下表。通气管以0.005的上升坡度坡向通气立管。</w:t>
      </w:r>
    </w:p>
    <w:tbl>
      <w:tblPr>
        <w:tblStyle w:val="19"/>
        <w:tblW w:w="46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1353"/>
        <w:gridCol w:w="1534"/>
        <w:gridCol w:w="1495"/>
        <w:gridCol w:w="1599"/>
        <w:gridCol w:w="1598"/>
      </w:tblGrid>
      <w:tr w14:paraId="7E51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 w:type="pct"/>
            <w:tcBorders>
              <w:top w:val="single" w:color="auto" w:sz="4" w:space="0"/>
              <w:left w:val="single" w:color="auto" w:sz="4" w:space="0"/>
              <w:bottom w:val="single" w:color="auto" w:sz="4" w:space="0"/>
              <w:right w:val="single" w:color="auto" w:sz="4" w:space="0"/>
            </w:tcBorders>
            <w:noWrap w:val="0"/>
            <w:vAlign w:val="top"/>
          </w:tcPr>
          <w:p w14:paraId="7092203C">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序号</w:t>
            </w:r>
          </w:p>
        </w:tc>
        <w:tc>
          <w:tcPr>
            <w:tcW w:w="806" w:type="pct"/>
            <w:tcBorders>
              <w:top w:val="single" w:color="auto" w:sz="4" w:space="0"/>
              <w:left w:val="single" w:color="auto" w:sz="4" w:space="0"/>
              <w:bottom w:val="single" w:color="auto" w:sz="4" w:space="0"/>
              <w:right w:val="single" w:color="auto" w:sz="4" w:space="0"/>
            </w:tcBorders>
            <w:noWrap w:val="0"/>
            <w:vAlign w:val="top"/>
          </w:tcPr>
          <w:p w14:paraId="003799D1">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管径</w:t>
            </w:r>
          </w:p>
        </w:tc>
        <w:tc>
          <w:tcPr>
            <w:tcW w:w="914" w:type="pct"/>
            <w:tcBorders>
              <w:top w:val="single" w:color="auto" w:sz="4" w:space="0"/>
              <w:left w:val="single" w:color="auto" w:sz="4" w:space="0"/>
              <w:bottom w:val="single" w:color="auto" w:sz="4" w:space="0"/>
              <w:right w:val="single" w:color="auto" w:sz="4" w:space="0"/>
            </w:tcBorders>
            <w:noWrap w:val="0"/>
            <w:vAlign w:val="top"/>
          </w:tcPr>
          <w:p w14:paraId="21802733">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标准坡度</w:t>
            </w:r>
          </w:p>
        </w:tc>
        <w:tc>
          <w:tcPr>
            <w:tcW w:w="891" w:type="pct"/>
            <w:tcBorders>
              <w:top w:val="single" w:color="auto" w:sz="4" w:space="0"/>
              <w:left w:val="single" w:color="auto" w:sz="4" w:space="0"/>
              <w:bottom w:val="single" w:color="auto" w:sz="4" w:space="0"/>
              <w:right w:val="single" w:color="auto" w:sz="4" w:space="0"/>
            </w:tcBorders>
            <w:noWrap w:val="0"/>
            <w:vAlign w:val="top"/>
          </w:tcPr>
          <w:p w14:paraId="4EE5F816">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序号</w:t>
            </w:r>
          </w:p>
        </w:tc>
        <w:tc>
          <w:tcPr>
            <w:tcW w:w="953" w:type="pct"/>
            <w:tcBorders>
              <w:top w:val="single" w:color="auto" w:sz="4" w:space="0"/>
              <w:left w:val="single" w:color="auto" w:sz="4" w:space="0"/>
              <w:bottom w:val="single" w:color="auto" w:sz="4" w:space="0"/>
              <w:right w:val="single" w:color="auto" w:sz="4" w:space="0"/>
            </w:tcBorders>
            <w:noWrap w:val="0"/>
            <w:vAlign w:val="top"/>
          </w:tcPr>
          <w:p w14:paraId="652BDD85">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管径</w:t>
            </w:r>
          </w:p>
        </w:tc>
        <w:tc>
          <w:tcPr>
            <w:tcW w:w="952" w:type="pct"/>
            <w:tcBorders>
              <w:top w:val="single" w:color="auto" w:sz="4" w:space="0"/>
              <w:left w:val="single" w:color="auto" w:sz="4" w:space="0"/>
              <w:bottom w:val="single" w:color="auto" w:sz="4" w:space="0"/>
              <w:right w:val="single" w:color="auto" w:sz="4" w:space="0"/>
            </w:tcBorders>
            <w:noWrap w:val="0"/>
            <w:vAlign w:val="top"/>
          </w:tcPr>
          <w:p w14:paraId="55F09E24">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标准坡度</w:t>
            </w:r>
          </w:p>
        </w:tc>
      </w:tr>
      <w:tr w14:paraId="16FA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 w:type="pct"/>
            <w:tcBorders>
              <w:top w:val="single" w:color="auto" w:sz="4" w:space="0"/>
              <w:left w:val="single" w:color="auto" w:sz="4" w:space="0"/>
              <w:bottom w:val="single" w:color="auto" w:sz="4" w:space="0"/>
              <w:right w:val="single" w:color="auto" w:sz="4" w:space="0"/>
            </w:tcBorders>
            <w:noWrap w:val="0"/>
            <w:vAlign w:val="top"/>
          </w:tcPr>
          <w:p w14:paraId="456AE51B">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w:t>
            </w:r>
          </w:p>
        </w:tc>
        <w:tc>
          <w:tcPr>
            <w:tcW w:w="806" w:type="pct"/>
            <w:tcBorders>
              <w:top w:val="single" w:color="auto" w:sz="4" w:space="0"/>
              <w:left w:val="single" w:color="auto" w:sz="4" w:space="0"/>
              <w:bottom w:val="single" w:color="auto" w:sz="4" w:space="0"/>
              <w:right w:val="single" w:color="auto" w:sz="4" w:space="0"/>
            </w:tcBorders>
            <w:noWrap w:val="0"/>
            <w:vAlign w:val="top"/>
          </w:tcPr>
          <w:p w14:paraId="5849985B">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DN50</w:t>
            </w:r>
          </w:p>
        </w:tc>
        <w:tc>
          <w:tcPr>
            <w:tcW w:w="914" w:type="pct"/>
            <w:tcBorders>
              <w:top w:val="single" w:color="auto" w:sz="4" w:space="0"/>
              <w:left w:val="single" w:color="auto" w:sz="4" w:space="0"/>
              <w:bottom w:val="single" w:color="auto" w:sz="4" w:space="0"/>
              <w:right w:val="single" w:color="auto" w:sz="4" w:space="0"/>
            </w:tcBorders>
            <w:noWrap w:val="0"/>
            <w:vAlign w:val="top"/>
          </w:tcPr>
          <w:p w14:paraId="1CDF4172">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0.025</w:t>
            </w:r>
          </w:p>
        </w:tc>
        <w:tc>
          <w:tcPr>
            <w:tcW w:w="891" w:type="pct"/>
            <w:tcBorders>
              <w:top w:val="single" w:color="auto" w:sz="4" w:space="0"/>
              <w:left w:val="single" w:color="auto" w:sz="4" w:space="0"/>
              <w:bottom w:val="single" w:color="auto" w:sz="4" w:space="0"/>
              <w:right w:val="single" w:color="auto" w:sz="4" w:space="0"/>
            </w:tcBorders>
            <w:noWrap w:val="0"/>
            <w:vAlign w:val="top"/>
          </w:tcPr>
          <w:p w14:paraId="46AD2F20">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p>
        </w:tc>
        <w:tc>
          <w:tcPr>
            <w:tcW w:w="953" w:type="pct"/>
            <w:tcBorders>
              <w:top w:val="single" w:color="auto" w:sz="4" w:space="0"/>
              <w:left w:val="single" w:color="auto" w:sz="4" w:space="0"/>
              <w:bottom w:val="single" w:color="auto" w:sz="4" w:space="0"/>
              <w:right w:val="single" w:color="auto" w:sz="4" w:space="0"/>
            </w:tcBorders>
            <w:noWrap w:val="0"/>
            <w:vAlign w:val="top"/>
          </w:tcPr>
          <w:p w14:paraId="177A5781">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DN100</w:t>
            </w:r>
          </w:p>
        </w:tc>
        <w:tc>
          <w:tcPr>
            <w:tcW w:w="952" w:type="pct"/>
            <w:tcBorders>
              <w:top w:val="single" w:color="auto" w:sz="4" w:space="0"/>
              <w:left w:val="single" w:color="auto" w:sz="4" w:space="0"/>
              <w:bottom w:val="single" w:color="auto" w:sz="4" w:space="0"/>
              <w:right w:val="single" w:color="auto" w:sz="4" w:space="0"/>
            </w:tcBorders>
            <w:noWrap w:val="0"/>
            <w:vAlign w:val="top"/>
          </w:tcPr>
          <w:p w14:paraId="04A8CE6A">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0.012</w:t>
            </w:r>
          </w:p>
        </w:tc>
      </w:tr>
      <w:tr w14:paraId="3F08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2" w:type="pct"/>
            <w:tcBorders>
              <w:top w:val="single" w:color="auto" w:sz="4" w:space="0"/>
              <w:left w:val="single" w:color="auto" w:sz="4" w:space="0"/>
              <w:bottom w:val="single" w:color="auto" w:sz="4" w:space="0"/>
              <w:right w:val="single" w:color="auto" w:sz="4" w:space="0"/>
            </w:tcBorders>
            <w:noWrap w:val="0"/>
            <w:vAlign w:val="top"/>
          </w:tcPr>
          <w:p w14:paraId="5C70EAA8">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2</w:t>
            </w:r>
          </w:p>
        </w:tc>
        <w:tc>
          <w:tcPr>
            <w:tcW w:w="806" w:type="pct"/>
            <w:tcBorders>
              <w:top w:val="single" w:color="auto" w:sz="4" w:space="0"/>
              <w:left w:val="single" w:color="auto" w:sz="4" w:space="0"/>
              <w:bottom w:val="single" w:color="auto" w:sz="4" w:space="0"/>
              <w:right w:val="single" w:color="auto" w:sz="4" w:space="0"/>
            </w:tcBorders>
            <w:noWrap w:val="0"/>
            <w:vAlign w:val="top"/>
          </w:tcPr>
          <w:p w14:paraId="42B8F214">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DN75</w:t>
            </w:r>
          </w:p>
        </w:tc>
        <w:tc>
          <w:tcPr>
            <w:tcW w:w="914" w:type="pct"/>
            <w:tcBorders>
              <w:top w:val="single" w:color="auto" w:sz="4" w:space="0"/>
              <w:left w:val="single" w:color="auto" w:sz="4" w:space="0"/>
              <w:bottom w:val="single" w:color="auto" w:sz="4" w:space="0"/>
              <w:right w:val="single" w:color="auto" w:sz="4" w:space="0"/>
            </w:tcBorders>
            <w:noWrap w:val="0"/>
            <w:vAlign w:val="top"/>
          </w:tcPr>
          <w:p w14:paraId="79929FAF">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0.015</w:t>
            </w:r>
          </w:p>
        </w:tc>
        <w:tc>
          <w:tcPr>
            <w:tcW w:w="891" w:type="pct"/>
            <w:tcBorders>
              <w:top w:val="single" w:color="auto" w:sz="4" w:space="0"/>
              <w:left w:val="single" w:color="auto" w:sz="4" w:space="0"/>
              <w:bottom w:val="single" w:color="auto" w:sz="4" w:space="0"/>
              <w:right w:val="single" w:color="auto" w:sz="4" w:space="0"/>
            </w:tcBorders>
            <w:noWrap w:val="0"/>
            <w:vAlign w:val="top"/>
          </w:tcPr>
          <w:p w14:paraId="401AFAFE">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p>
        </w:tc>
        <w:tc>
          <w:tcPr>
            <w:tcW w:w="953" w:type="pct"/>
            <w:tcBorders>
              <w:top w:val="single" w:color="auto" w:sz="4" w:space="0"/>
              <w:left w:val="single" w:color="auto" w:sz="4" w:space="0"/>
              <w:bottom w:val="single" w:color="auto" w:sz="4" w:space="0"/>
              <w:right w:val="single" w:color="auto" w:sz="4" w:space="0"/>
            </w:tcBorders>
            <w:noWrap w:val="0"/>
            <w:vAlign w:val="top"/>
          </w:tcPr>
          <w:p w14:paraId="46BE775F">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DN150</w:t>
            </w:r>
          </w:p>
        </w:tc>
        <w:tc>
          <w:tcPr>
            <w:tcW w:w="952" w:type="pct"/>
            <w:tcBorders>
              <w:top w:val="single" w:color="auto" w:sz="4" w:space="0"/>
              <w:left w:val="single" w:color="auto" w:sz="4" w:space="0"/>
              <w:bottom w:val="single" w:color="auto" w:sz="4" w:space="0"/>
              <w:right w:val="single" w:color="auto" w:sz="4" w:space="0"/>
            </w:tcBorders>
            <w:noWrap w:val="0"/>
            <w:vAlign w:val="top"/>
          </w:tcPr>
          <w:p w14:paraId="264CC596">
            <w:pPr>
              <w:pageBreakBefore w:val="0"/>
              <w:numPr>
                <w:ilvl w:val="0"/>
                <w:numId w:val="0"/>
              </w:numPr>
              <w:tabs>
                <w:tab w:val="left" w:pos="720"/>
              </w:tabs>
              <w:kinsoku/>
              <w:wordWrap/>
              <w:overflowPunct/>
              <w:topLinePunct w:val="0"/>
              <w:bidi w:val="0"/>
              <w:spacing w:line="400" w:lineRule="exact"/>
              <w:jc w:val="center"/>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0.004</w:t>
            </w:r>
          </w:p>
        </w:tc>
      </w:tr>
    </w:tbl>
    <w:p w14:paraId="7E3A28E1">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排水横管与立管,横管与横管相接采用45%%D斜三通,水平横管转弯及立管与排出管连接应采用二个45%%D弯头。且立管底部弯管处应设支墩。</w:t>
      </w:r>
    </w:p>
    <w:p w14:paraId="1FAB4CC7">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卫生间给水支管均采用暗装。</w:t>
      </w:r>
    </w:p>
    <w:p w14:paraId="198816D2">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压力给水管道宜按0.002坡度坡向主干管或泄水口。</w:t>
      </w:r>
    </w:p>
    <w:p w14:paraId="479D83DD">
      <w:pPr>
        <w:pageBreakBefore w:val="0"/>
        <w:numPr>
          <w:ilvl w:val="0"/>
          <w:numId w:val="16"/>
        </w:numPr>
        <w:tabs>
          <w:tab w:val="left" w:pos="720"/>
        </w:tabs>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管径≤DN25的给水横支管沿墙暗装或设于楼板找平层内，其余给水横管、立管靠墙柱明装。立管应按规定尺寸靠近墙边或柱边。给排水管道与其它专业管道交叉应互相协调。</w:t>
      </w:r>
    </w:p>
    <w:p w14:paraId="6176F436">
      <w:pPr>
        <w:pageBreakBefore w:val="0"/>
        <w:numPr>
          <w:ilvl w:val="0"/>
          <w:numId w:val="0"/>
        </w:numPr>
        <w:tabs>
          <w:tab w:val="left" w:pos="720"/>
        </w:tabs>
        <w:kinsoku/>
        <w:wordWrap/>
        <w:overflowPunct/>
        <w:topLinePunct w:val="0"/>
        <w:bidi w:val="0"/>
        <w:spacing w:line="400" w:lineRule="exact"/>
        <w:ind w:leftChars="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4.</w:t>
      </w:r>
      <w:r>
        <w:rPr>
          <w:rFonts w:hint="eastAsia" w:asciiTheme="minorEastAsia" w:hAnsiTheme="minorEastAsia" w:eastAsiaTheme="minorEastAsia" w:cstheme="minorEastAsia"/>
          <w:b w:val="0"/>
          <w:bCs w:val="0"/>
          <w:color w:val="auto"/>
          <w:sz w:val="24"/>
          <w:szCs w:val="24"/>
          <w:highlight w:val="none"/>
          <w:lang w:val="en-US" w:eastAsia="zh"/>
        </w:rPr>
        <w:t>10</w:t>
      </w:r>
      <w:r>
        <w:rPr>
          <w:rFonts w:hint="eastAsia" w:asciiTheme="minorEastAsia" w:hAnsiTheme="minorEastAsia" w:eastAsiaTheme="minorEastAsia" w:cstheme="minorEastAsia"/>
          <w:b w:val="0"/>
          <w:bCs w:val="0"/>
          <w:color w:val="auto"/>
          <w:sz w:val="24"/>
          <w:szCs w:val="24"/>
          <w:highlight w:val="none"/>
          <w:lang w:val="en-US" w:eastAsia="zh-CN"/>
        </w:rPr>
        <w:t xml:space="preserve"> 给排水机电抗震设计：</w:t>
      </w:r>
    </w:p>
    <w:p w14:paraId="6AF0B8EA">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本工程室内给水、热水以及消防管道管径大于或等于DN65的管道应设置抗震支。 </w:t>
      </w:r>
    </w:p>
    <w:p w14:paraId="24BD4337">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组成抗震支吊架的所有构件采用成品支架构件，连接紧固件的构造应便于安装； </w:t>
      </w:r>
    </w:p>
    <w:p w14:paraId="5CE9B602">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保温管道的抗震支吊架限位应按保温管道保温后的尺寸设计，且不应限制管线热胀冷缩产生的位移。 </w:t>
      </w:r>
    </w:p>
    <w:p w14:paraId="432362A5">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抗震支吊架应根据其承受的荷载进行抗震验算。 </w:t>
      </w:r>
    </w:p>
    <w:p w14:paraId="722AE2B7">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抗震支吊架</w:t>
      </w:r>
      <w:r>
        <w:rPr>
          <w:rFonts w:hint="eastAsia" w:asciiTheme="minorEastAsia" w:hAnsiTheme="minorEastAsia" w:cstheme="minorEastAsia"/>
          <w:color w:val="auto"/>
          <w:sz w:val="24"/>
          <w:szCs w:val="24"/>
          <w:highlight w:val="none"/>
          <w:lang w:val="en-US" w:eastAsia="zh-CN"/>
        </w:rPr>
        <w:t>敷设</w:t>
      </w:r>
      <w:r>
        <w:rPr>
          <w:rFonts w:hint="eastAsia" w:asciiTheme="minorEastAsia" w:hAnsiTheme="minorEastAsia" w:eastAsiaTheme="minorEastAsia" w:cstheme="minorEastAsia"/>
          <w:color w:val="auto"/>
          <w:sz w:val="24"/>
          <w:szCs w:val="24"/>
          <w:highlight w:val="none"/>
          <w:lang w:val="en-US" w:eastAsia="zh-CN"/>
        </w:rPr>
        <w:t>间距应满足GB50981-20</w:t>
      </w:r>
    </w:p>
    <w:p w14:paraId="20272572">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抗震支架的布置应严格根据GB50981-2014《建筑机电工程抗震设计规范》第14《建筑机电工程抗震设计规范》第8.2.3条要求，并满足 表8.2.3规定.8.3章的要求设置；</w:t>
      </w:r>
    </w:p>
    <w:p w14:paraId="32C104C8">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管线水平地震力综合系数按GB50981-2014《建筑机电工程抗震设计规范》第8.2.4要求，并参照 3.4.5条和表3.4.1的参数取用进行计算。当计算结果不足0.5时取0.5，超过0.5按实际计算值； </w:t>
      </w:r>
    </w:p>
    <w:p w14:paraId="0B1F8DC5">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抗震支架受力的力学验算应包括：支架与建筑结构连接验算（含锚栓和连接件）；杆件受力验算（含受拉和受压校核）；支架抗震连接件受力校核等； </w:t>
      </w:r>
    </w:p>
    <w:p w14:paraId="08B717CF">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抗震支架吊杆及斜撑的长细比要求应满足GB50981-2014《建筑机电工程抗震设计规范》第8.3.8条的要求。 </w:t>
      </w:r>
    </w:p>
    <w:p w14:paraId="16ED0141">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依据《建筑与市政工程抗震通用规范》GB55002-2021，5.1.16 建筑附属机电设备不应设置在可能致使其功能障碍等二次灾害的部位；设防地震下需要连续工作的附属设备，应设置在建筑结构地震反应较小的部位。</w:t>
      </w:r>
    </w:p>
    <w:p w14:paraId="48E3CC5F">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依据《建筑与市政工程抗震通用规范》GB55002-2021，5.1.17 管道、电缆、通风管和设备的洞口设置，应减少对主要承重结构件的削弱；洞口边缘应有补强措施，管道和设备与建筑结构的连接，应具有足够的变形能力，以满足相对位移的需要。</w:t>
      </w:r>
    </w:p>
    <w:p w14:paraId="5DC3E675">
      <w:pPr>
        <w:pageBreakBefore w:val="0"/>
        <w:numPr>
          <w:ilvl w:val="0"/>
          <w:numId w:val="17"/>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依据《建筑与市政工程抗震通用规范》GB55002-2021，5.1.18 建筑附属机电设备的基座或支架，以及相关连接件和锚固件应具有足够的刚度和强度，应能将设备承受的地震作用全部传递到建筑结构上。建筑结构中，用以固定建筑附属机电设备预埋件、锚固件的部位，应采取加强措施，以承受附属机电设备传给主体结构的地震作用。</w:t>
      </w:r>
    </w:p>
    <w:p w14:paraId="2834A715">
      <w:pPr>
        <w:pageBreakBefore w:val="0"/>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lang w:val="en-US" w:eastAsia="zh-CN"/>
        </w:rPr>
      </w:pPr>
    </w:p>
    <w:p w14:paraId="6B0C45D2">
      <w:pPr>
        <w:pageBreakBefore w:val="0"/>
        <w:kinsoku/>
        <w:wordWrap/>
        <w:overflowPunct/>
        <w:topLinePunct w:val="0"/>
        <w:bidi w:val="0"/>
        <w:spacing w:line="400" w:lineRule="exact"/>
        <w:textAlignment w:val="auto"/>
        <w:outlineLvl w:val="2"/>
        <w:rPr>
          <w:rFonts w:hint="eastAsia" w:asciiTheme="minorEastAsia" w:hAnsiTheme="minorEastAsia" w:eastAsiaTheme="minorEastAsia" w:cstheme="minorEastAsia"/>
          <w:b/>
          <w:color w:val="auto"/>
          <w:sz w:val="24"/>
          <w:szCs w:val="24"/>
          <w:highlight w:val="none"/>
        </w:rPr>
      </w:pPr>
      <w:bookmarkStart w:id="20" w:name="_Toc98605183"/>
      <w:r>
        <w:rPr>
          <w:rFonts w:hint="eastAsia" w:asciiTheme="minorEastAsia" w:hAnsiTheme="minorEastAsia" w:eastAsiaTheme="minorEastAsia" w:cstheme="minorEastAsia"/>
          <w:b/>
          <w:color w:val="auto"/>
          <w:sz w:val="24"/>
          <w:szCs w:val="24"/>
          <w:highlight w:val="none"/>
          <w:lang w:val="en-US" w:eastAsia="zh-CN"/>
        </w:rPr>
        <w:t>5.</w:t>
      </w:r>
      <w:r>
        <w:rPr>
          <w:rFonts w:hint="eastAsia" w:asciiTheme="minorEastAsia" w:hAnsiTheme="minorEastAsia" w:eastAsiaTheme="minorEastAsia" w:cstheme="minorEastAsia"/>
          <w:b/>
          <w:color w:val="auto"/>
          <w:sz w:val="24"/>
          <w:szCs w:val="24"/>
          <w:highlight w:val="none"/>
        </w:rPr>
        <w:t>暖通</w:t>
      </w:r>
      <w:bookmarkEnd w:id="20"/>
    </w:p>
    <w:p w14:paraId="38B94C90">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.1主要设计依据</w:t>
      </w:r>
    </w:p>
    <w:p w14:paraId="7A56375D">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《民用建筑供暖通风与空气调节设计规范》（GB50736-2012）；</w:t>
      </w:r>
    </w:p>
    <w:p w14:paraId="72018C53">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《建筑设计防火规范》（GB50016-2014）（2018年版）；</w:t>
      </w:r>
    </w:p>
    <w:p w14:paraId="6B0BD701">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《消防设施通用规范》（GB55036-2022）；</w:t>
      </w:r>
    </w:p>
    <w:p w14:paraId="11277FF9">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《建筑防火通用规范》（GB55037-2022）；</w:t>
      </w:r>
    </w:p>
    <w:p w14:paraId="1B9A7F79">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《既有建筑维护与改造通用规范》（GB55022-2021）；</w:t>
      </w:r>
    </w:p>
    <w:p w14:paraId="701AF402">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《全国民用建筑工程设计技术措施-暖通空调•动力》；</w:t>
      </w:r>
    </w:p>
    <w:p w14:paraId="61619C2B">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《公共建筑节能设计标准》（GB50189-2015）；</w:t>
      </w:r>
    </w:p>
    <w:p w14:paraId="76D86FF2">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《建筑防烟排烟系统技术标准》</w:t>
      </w:r>
      <w:r>
        <w:rPr>
          <w:rFonts w:hint="eastAsia" w:asciiTheme="minorEastAsia" w:hAnsiTheme="minorEastAsia" w:eastAsiaTheme="minorEastAsia" w:cstheme="minorEastAsia"/>
          <w:color w:val="auto"/>
          <w:sz w:val="24"/>
          <w:szCs w:val="24"/>
          <w:highlight w:val="none"/>
          <w:lang w:val="zh-CN" w:eastAsia="zh-CN"/>
        </w:rPr>
        <w:t>（GB51251-2017）；</w:t>
      </w:r>
    </w:p>
    <w:p w14:paraId="54BAF5CA">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《医院洁净手术部建筑技术规范》（GB50333-2013）；</w:t>
      </w:r>
    </w:p>
    <w:p w14:paraId="7A71D31F">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fldChar w:fldCharType="begin"/>
      </w:r>
      <w:r>
        <w:rPr>
          <w:rFonts w:hint="eastAsia" w:asciiTheme="minorEastAsia" w:hAnsiTheme="minorEastAsia" w:eastAsiaTheme="minorEastAsia" w:cstheme="minorEastAsia"/>
          <w:color w:val="auto"/>
          <w:sz w:val="24"/>
          <w:szCs w:val="24"/>
          <w:highlight w:val="none"/>
          <w:lang w:val="zh-CN"/>
        </w:rPr>
        <w:instrText xml:space="preserve"> HYPERLINK "http://www.baidu.com/link?url=N9cQCcm6ddQjqfTPEQ1wEuW0aSk0zS5MzMhF-9mB6vxSRR9C5CgH1awhS4DkLDsTKDhAcGaxXd0TYv9v_DboGy8jE0eKDMAqhQn8kfOc26K" \t "_blank" </w:instrText>
      </w:r>
      <w:r>
        <w:rPr>
          <w:rFonts w:hint="eastAsia" w:asciiTheme="minorEastAsia" w:hAnsiTheme="minorEastAsia" w:eastAsiaTheme="minorEastAsia" w:cstheme="minorEastAsia"/>
          <w:color w:val="auto"/>
          <w:sz w:val="24"/>
          <w:szCs w:val="24"/>
          <w:highlight w:val="none"/>
          <w:lang w:val="zh-CN"/>
        </w:rPr>
        <w:fldChar w:fldCharType="separate"/>
      </w:r>
      <w:r>
        <w:rPr>
          <w:rFonts w:hint="eastAsia" w:asciiTheme="minorEastAsia" w:hAnsiTheme="minorEastAsia" w:eastAsiaTheme="minorEastAsia" w:cstheme="minorEastAsia"/>
          <w:color w:val="auto"/>
          <w:sz w:val="24"/>
          <w:szCs w:val="24"/>
          <w:highlight w:val="none"/>
          <w:lang w:val="zh-CN"/>
        </w:rPr>
        <w:t>《建筑防烟排烟系统技术标准》（GB51251-2017</w:t>
      </w:r>
      <w:r>
        <w:rPr>
          <w:rFonts w:hint="eastAsia" w:asciiTheme="minorEastAsia" w:hAnsiTheme="minorEastAsia" w:eastAsiaTheme="minorEastAsia" w:cstheme="minorEastAsia"/>
          <w:color w:val="auto"/>
          <w:sz w:val="24"/>
          <w:szCs w:val="24"/>
          <w:highlight w:val="none"/>
          <w:lang w:val="zh-CN"/>
        </w:rPr>
        <w:fldChar w:fldCharType="end"/>
      </w:r>
      <w:r>
        <w:rPr>
          <w:rFonts w:hint="eastAsia" w:asciiTheme="minorEastAsia" w:hAnsiTheme="minorEastAsia" w:eastAsiaTheme="minorEastAsia" w:cstheme="minorEastAsia"/>
          <w:color w:val="auto"/>
          <w:sz w:val="24"/>
          <w:szCs w:val="24"/>
          <w:highlight w:val="none"/>
          <w:lang w:val="zh-CN"/>
        </w:rPr>
        <w:t>）；</w:t>
      </w:r>
    </w:p>
    <w:p w14:paraId="4DD8BDAD">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《生物安全实验室建筑技术规范》（GB50346-2011）</w:t>
      </w:r>
      <w:r>
        <w:rPr>
          <w:rFonts w:hint="eastAsia" w:asciiTheme="minorEastAsia" w:hAnsiTheme="minorEastAsia" w:eastAsiaTheme="minorEastAsia" w:cstheme="minorEastAsia"/>
          <w:color w:val="auto"/>
          <w:sz w:val="24"/>
          <w:szCs w:val="24"/>
          <w:highlight w:val="none"/>
          <w:lang w:val="zh-CN" w:eastAsia="zh-CN"/>
        </w:rPr>
        <w:t>；</w:t>
      </w:r>
    </w:p>
    <w:p w14:paraId="08F50132">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《实验室生物安全通用要求》（GB19489-2008）；</w:t>
      </w:r>
    </w:p>
    <w:p w14:paraId="35EEECF7">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《病原微生物实验室生物安全通用准则》（WS233-2017）；</w:t>
      </w:r>
    </w:p>
    <w:p w14:paraId="3B9A44B9">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《综合医院建筑设计规范》（GB51039-2014）；</w:t>
      </w:r>
    </w:p>
    <w:p w14:paraId="2916452C">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《福建省公共建筑节能设计标准》（DBJ13-305-2023）；</w:t>
      </w:r>
    </w:p>
    <w:p w14:paraId="26E91533">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rPr>
        <w:fldChar w:fldCharType="begin"/>
      </w:r>
      <w:r>
        <w:rPr>
          <w:rFonts w:hint="eastAsia" w:asciiTheme="minorEastAsia" w:hAnsiTheme="minorEastAsia" w:eastAsiaTheme="minorEastAsia" w:cstheme="minorEastAsia"/>
          <w:color w:val="auto"/>
          <w:sz w:val="24"/>
          <w:szCs w:val="24"/>
          <w:highlight w:val="none"/>
          <w:lang w:val="zh-CN"/>
        </w:rPr>
        <w:instrText xml:space="preserve"> HYPERLINK "http://www.baidu.com/link?url=7xIowp43ZENCVK_MacMjFXNT0vn892jb_xqv64VXwfY0gwHZjpWtKxwbderqUdUt" \t "_blank" </w:instrText>
      </w:r>
      <w:r>
        <w:rPr>
          <w:rFonts w:hint="eastAsia" w:asciiTheme="minorEastAsia" w:hAnsiTheme="minorEastAsia" w:eastAsiaTheme="minorEastAsia" w:cstheme="minorEastAsia"/>
          <w:color w:val="auto"/>
          <w:sz w:val="24"/>
          <w:szCs w:val="24"/>
          <w:highlight w:val="none"/>
          <w:lang w:val="zh-CN"/>
        </w:rPr>
        <w:fldChar w:fldCharType="separate"/>
      </w:r>
      <w:r>
        <w:rPr>
          <w:rFonts w:hint="eastAsia" w:asciiTheme="minorEastAsia" w:hAnsiTheme="minorEastAsia" w:eastAsiaTheme="minorEastAsia" w:cstheme="minorEastAsia"/>
          <w:color w:val="auto"/>
          <w:sz w:val="24"/>
          <w:szCs w:val="24"/>
          <w:highlight w:val="none"/>
          <w:lang w:val="zh-CN"/>
        </w:rPr>
        <w:t>建筑机电工程抗震设计规范》（GB50981-2014</w:t>
      </w:r>
      <w:r>
        <w:rPr>
          <w:rFonts w:hint="eastAsia" w:asciiTheme="minorEastAsia" w:hAnsiTheme="minorEastAsia" w:eastAsiaTheme="minorEastAsia" w:cstheme="minorEastAsia"/>
          <w:color w:val="auto"/>
          <w:sz w:val="24"/>
          <w:szCs w:val="24"/>
          <w:highlight w:val="none"/>
          <w:lang w:val="zh-CN"/>
        </w:rPr>
        <w:fldChar w:fldCharType="end"/>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w:t>
      </w:r>
    </w:p>
    <w:p w14:paraId="19674997">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《多联机空调系统工程技术规程》（JGJ174-2010）</w:t>
      </w:r>
      <w:r>
        <w:rPr>
          <w:rFonts w:hint="eastAsia" w:asciiTheme="minorEastAsia" w:hAnsiTheme="minorEastAsia" w:eastAsiaTheme="minorEastAsia" w:cstheme="minorEastAsia"/>
          <w:color w:val="auto"/>
          <w:sz w:val="24"/>
          <w:szCs w:val="24"/>
          <w:highlight w:val="none"/>
          <w:lang w:val="zh-CN" w:eastAsia="zh-CN"/>
        </w:rPr>
        <w:t>；</w:t>
      </w:r>
    </w:p>
    <w:p w14:paraId="57B3BC53">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rPr>
        <w:fldChar w:fldCharType="begin"/>
      </w:r>
      <w:r>
        <w:rPr>
          <w:rFonts w:hint="eastAsia" w:asciiTheme="minorEastAsia" w:hAnsiTheme="minorEastAsia" w:eastAsiaTheme="minorEastAsia" w:cstheme="minorEastAsia"/>
          <w:color w:val="auto"/>
          <w:sz w:val="24"/>
          <w:szCs w:val="24"/>
          <w:highlight w:val="none"/>
          <w:lang w:val="zh-CN"/>
        </w:rPr>
        <w:instrText xml:space="preserve"> HYPERLINK "http://www.jianbiaoku.com/webarbs/book/160785/4739756.shtml" \o "建筑节能与可再生能源利用通用规范[附条文说明]GB 55015-2021" \t "_blank" </w:instrText>
      </w:r>
      <w:r>
        <w:rPr>
          <w:rFonts w:hint="eastAsia" w:asciiTheme="minorEastAsia" w:hAnsiTheme="minorEastAsia" w:eastAsiaTheme="minorEastAsia" w:cstheme="minorEastAsia"/>
          <w:color w:val="auto"/>
          <w:sz w:val="24"/>
          <w:szCs w:val="24"/>
          <w:highlight w:val="none"/>
          <w:lang w:val="zh-CN"/>
        </w:rPr>
        <w:fldChar w:fldCharType="separate"/>
      </w:r>
      <w:r>
        <w:rPr>
          <w:rFonts w:hint="eastAsia" w:asciiTheme="minorEastAsia" w:hAnsiTheme="minorEastAsia" w:eastAsiaTheme="minorEastAsia" w:cstheme="minorEastAsia"/>
          <w:color w:val="auto"/>
          <w:sz w:val="24"/>
          <w:szCs w:val="24"/>
          <w:highlight w:val="none"/>
          <w:lang w:val="zh-CN"/>
        </w:rPr>
        <w:t>建筑节能与可再生能源利用通用规范》（GB55015-2021</w:t>
      </w:r>
      <w:r>
        <w:rPr>
          <w:rFonts w:hint="eastAsia" w:asciiTheme="minorEastAsia" w:hAnsiTheme="minorEastAsia" w:eastAsiaTheme="minorEastAsia" w:cstheme="minorEastAsia"/>
          <w:color w:val="auto"/>
          <w:sz w:val="24"/>
          <w:szCs w:val="24"/>
          <w:highlight w:val="none"/>
          <w:lang w:val="zh-CN"/>
        </w:rPr>
        <w:fldChar w:fldCharType="end"/>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w:t>
      </w:r>
    </w:p>
    <w:p w14:paraId="7188A59A">
      <w:pPr>
        <w:pageBreakBefore w:val="0"/>
        <w:numPr>
          <w:ilvl w:val="0"/>
          <w:numId w:val="18"/>
        </w:numPr>
        <w:kinsoku/>
        <w:wordWrap/>
        <w:overflowPunct/>
        <w:topLinePunct w:val="0"/>
        <w:bidi w:val="0"/>
        <w:spacing w:line="400" w:lineRule="exact"/>
        <w:ind w:left="425" w:leftChars="0" w:hanging="425" w:firstLineChars="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rPr>
        <w:fldChar w:fldCharType="begin"/>
      </w:r>
      <w:r>
        <w:rPr>
          <w:rFonts w:hint="eastAsia" w:asciiTheme="minorEastAsia" w:hAnsiTheme="minorEastAsia" w:eastAsiaTheme="minorEastAsia" w:cstheme="minorEastAsia"/>
          <w:color w:val="auto"/>
          <w:sz w:val="24"/>
          <w:szCs w:val="24"/>
          <w:highlight w:val="none"/>
          <w:lang w:val="zh-CN"/>
        </w:rPr>
        <w:instrText xml:space="preserve"> HYPERLINK "http://www.jianbiaoku.com/webarbs/book/159296/4726032.shtml" \o "建筑与市政工程抗震通用规范[附条文说明]GB 55002-2021" \t "_blank" </w:instrText>
      </w:r>
      <w:r>
        <w:rPr>
          <w:rFonts w:hint="eastAsia" w:asciiTheme="minorEastAsia" w:hAnsiTheme="minorEastAsia" w:eastAsiaTheme="minorEastAsia" w:cstheme="minorEastAsia"/>
          <w:color w:val="auto"/>
          <w:sz w:val="24"/>
          <w:szCs w:val="24"/>
          <w:highlight w:val="none"/>
          <w:lang w:val="zh-CN"/>
        </w:rPr>
        <w:fldChar w:fldCharType="separate"/>
      </w:r>
      <w:r>
        <w:rPr>
          <w:rFonts w:hint="eastAsia" w:asciiTheme="minorEastAsia" w:hAnsiTheme="minorEastAsia" w:eastAsiaTheme="minorEastAsia" w:cstheme="minorEastAsia"/>
          <w:color w:val="auto"/>
          <w:sz w:val="24"/>
          <w:szCs w:val="24"/>
          <w:highlight w:val="none"/>
          <w:lang w:val="zh-CN"/>
        </w:rPr>
        <w:t>建筑与市政工程抗震通用规范》（GB55002-2021</w:t>
      </w:r>
      <w:r>
        <w:rPr>
          <w:rFonts w:hint="eastAsia" w:asciiTheme="minorEastAsia" w:hAnsiTheme="minorEastAsia" w:eastAsiaTheme="minorEastAsia" w:cstheme="minorEastAsia"/>
          <w:color w:val="auto"/>
          <w:sz w:val="24"/>
          <w:szCs w:val="24"/>
          <w:highlight w:val="none"/>
          <w:lang w:val="zh-CN"/>
        </w:rPr>
        <w:fldChar w:fldCharType="end"/>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w:t>
      </w:r>
    </w:p>
    <w:p w14:paraId="2E81032B">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.2设计内容</w:t>
      </w:r>
      <w:r>
        <w:rPr>
          <w:rFonts w:hint="eastAsia" w:asciiTheme="minorEastAsia" w:hAnsiTheme="minorEastAsia" w:eastAsiaTheme="minorEastAsia" w:cstheme="minorEastAsia"/>
          <w:color w:val="auto"/>
          <w:sz w:val="24"/>
          <w:szCs w:val="24"/>
          <w:highlight w:val="none"/>
          <w:lang w:val="en-US" w:eastAsia="zh-CN"/>
        </w:rPr>
        <w:t>及现状</w:t>
      </w:r>
    </w:p>
    <w:p w14:paraId="51CFB56B">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建设</w:t>
      </w:r>
      <w:r>
        <w:rPr>
          <w:rFonts w:hint="eastAsia" w:asciiTheme="minorEastAsia" w:hAnsiTheme="minorEastAsia" w:eastAsiaTheme="minorEastAsia" w:cstheme="minorEastAsia"/>
          <w:color w:val="auto"/>
          <w:sz w:val="24"/>
          <w:szCs w:val="24"/>
          <w:highlight w:val="none"/>
          <w:lang w:val="en-US" w:eastAsia="zh-CN"/>
        </w:rPr>
        <w:t>GMP</w:t>
      </w:r>
      <w:r>
        <w:rPr>
          <w:rFonts w:hint="eastAsia" w:asciiTheme="minorEastAsia" w:hAnsiTheme="minorEastAsia" w:eastAsiaTheme="minorEastAsia" w:cstheme="minorEastAsia"/>
          <w:color w:val="auto"/>
          <w:sz w:val="24"/>
          <w:szCs w:val="24"/>
          <w:highlight w:val="none"/>
        </w:rPr>
        <w:t>重点实验区</w:t>
      </w:r>
      <w:r>
        <w:rPr>
          <w:rFonts w:hint="eastAsia" w:asciiTheme="minorEastAsia" w:hAnsiTheme="minorEastAsia" w:eastAsiaTheme="minorEastAsia" w:cstheme="minorEastAsia"/>
          <w:color w:val="auto"/>
          <w:sz w:val="24"/>
          <w:szCs w:val="24"/>
          <w:highlight w:val="none"/>
          <w:lang w:val="en-US" w:eastAsia="zh-CN"/>
        </w:rPr>
        <w:t>：总面积约</w:t>
      </w:r>
      <w:r>
        <w:rPr>
          <w:rFonts w:hint="eastAsia" w:asciiTheme="minorEastAsia" w:hAnsiTheme="minorEastAsia" w:eastAsiaTheme="minorEastAsia" w:cstheme="minorEastAsia"/>
          <w:color w:val="auto"/>
          <w:sz w:val="24"/>
          <w:szCs w:val="24"/>
          <w:highlight w:val="none"/>
          <w:lang w:val="en-US" w:eastAsia="zh"/>
        </w:rPr>
        <w:t>98</w:t>
      </w:r>
      <w:r>
        <w:rPr>
          <w:rFonts w:hint="eastAsia" w:asciiTheme="minorEastAsia" w:hAnsiTheme="minorEastAsia" w:eastAsiaTheme="minorEastAsia" w:cstheme="minorEastAsia"/>
          <w:color w:val="auto"/>
          <w:sz w:val="24"/>
          <w:szCs w:val="24"/>
          <w:highlight w:val="none"/>
          <w:lang w:val="en-US" w:eastAsia="zh-CN"/>
        </w:rPr>
        <w:t>0平米，位于</w:t>
      </w:r>
      <w:r>
        <w:rPr>
          <w:rFonts w:hint="eastAsia" w:asciiTheme="minorEastAsia" w:hAnsiTheme="minorEastAsia" w:eastAsiaTheme="minorEastAsia" w:cstheme="minorEastAsia"/>
          <w:color w:val="auto"/>
          <w:sz w:val="24"/>
          <w:szCs w:val="24"/>
          <w:highlight w:val="none"/>
          <w:lang w:val="en-US" w:eastAsia="zh"/>
        </w:rPr>
        <w:t>行政科研楼5层左侧区域900平方，行政科研楼4层左侧区域80平方</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val="en-US" w:eastAsia="zh"/>
        </w:rPr>
        <w:t>本次设计包括实验室内通风系统，净化系统，排风系统和排烟系统；冷热源采用四管制风冷螺杆式冷热水机组，置于屋面。</w:t>
      </w:r>
    </w:p>
    <w:p w14:paraId="176AFF4D">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设计</w:t>
      </w:r>
      <w:r>
        <w:rPr>
          <w:rFonts w:hint="eastAsia" w:asciiTheme="minorEastAsia" w:hAnsiTheme="minorEastAsia" w:eastAsiaTheme="minorEastAsia" w:cstheme="minorEastAsia"/>
          <w:color w:val="auto"/>
          <w:sz w:val="24"/>
          <w:szCs w:val="24"/>
          <w:highlight w:val="none"/>
          <w:lang w:val="en-US" w:eastAsia="zh-CN"/>
        </w:rPr>
        <w:t>参数</w:t>
      </w:r>
    </w:p>
    <w:p w14:paraId="2B681094">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（1）室外设计计算参数-选取福州地区的室外设计参数：夏季大气压：996.6 hPa；夏季空调室外计算日平均温度：30.8℃；夏季空调室外计算温度：35.9℃；夏季通风室外计算温度：33.1℃；夏季空调室外计算湿球温度：28.0℃；夏季室外平均风速：3.0 m/s SSE；冬季大气压：1012.9 hPa；冬季空调室外计算温度：4.4℃；冬季空调室外计算相对湿度：74%；冬季室外平均风速：2.4 m/s C NNW；冬季通风室外计算温度：10.9℃。</w:t>
      </w:r>
    </w:p>
    <w:p w14:paraId="1D054623">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（2）室内设计参数：</w:t>
      </w:r>
      <w:r>
        <w:rPr>
          <w:rFonts w:hint="eastAsia" w:asciiTheme="minorEastAsia" w:hAnsiTheme="minorEastAsia" w:eastAsiaTheme="minorEastAsia" w:cstheme="minorEastAsia"/>
          <w:color w:val="auto"/>
          <w:sz w:val="24"/>
          <w:szCs w:val="24"/>
          <w:highlight w:val="none"/>
          <w:lang w:val="en-US" w:eastAsia="zh-CN"/>
        </w:rPr>
        <w:t>GMP</w:t>
      </w:r>
      <w:r>
        <w:rPr>
          <w:rFonts w:hint="eastAsia" w:asciiTheme="minorEastAsia" w:hAnsiTheme="minorEastAsia" w:eastAsiaTheme="minorEastAsia" w:cstheme="minorEastAsia"/>
          <w:color w:val="auto"/>
          <w:sz w:val="24"/>
          <w:szCs w:val="24"/>
          <w:highlight w:val="none"/>
        </w:rPr>
        <w:t>等实验室：温度16~28℃，相对湿度30%~70%；生物样本库：温度16~28℃，相对湿度30%~80%；洁净度</w:t>
      </w:r>
      <w:r>
        <w:rPr>
          <w:rFonts w:hint="eastAsia" w:asciiTheme="minorEastAsia" w:hAnsiTheme="minorEastAsia" w:eastAsiaTheme="minorEastAsia" w:cstheme="minorEastAsia"/>
          <w:color w:val="auto"/>
          <w:sz w:val="24"/>
          <w:szCs w:val="24"/>
          <w:highlight w:val="none"/>
          <w:lang w:eastAsia="zh"/>
        </w:rPr>
        <w:t>等级B</w:t>
      </w:r>
      <w:r>
        <w:rPr>
          <w:rFonts w:hint="eastAsia" w:asciiTheme="minorEastAsia" w:hAnsiTheme="minorEastAsia" w:eastAsiaTheme="minorEastAsia" w:cstheme="minorEastAsia"/>
          <w:color w:val="auto"/>
          <w:sz w:val="24"/>
          <w:szCs w:val="24"/>
          <w:highlight w:val="none"/>
        </w:rPr>
        <w:t>级，详细参数详后期图纸。</w:t>
      </w:r>
    </w:p>
    <w:p w14:paraId="32CF3BA6">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通风系统设计计算参数：普通区域通风按换气次数（气味重的区域10~15次/h，其余区域2次/h）或排除室内余热余湿计算排风量，实验室区域通风按维持房间压力控制需求、设备通风及人员需求计算排风量。采用机械排风，机械补风或自然补风的方式。</w:t>
      </w:r>
    </w:p>
    <w:p w14:paraId="134FF1D5">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4空调及通风系统</w:t>
      </w:r>
    </w:p>
    <w:p w14:paraId="088565F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上无窗暗房间及有异味的房间、实验室用房等均设机械通风系统，由排风机或排气扇将室内污气排至室外，实验室下排风口均采用高效下排风口，所有排风系统内设置防倒流装置（止回阀或电动密闭阀）和手动风量调节阀。</w:t>
      </w:r>
    </w:p>
    <w:p w14:paraId="62DEE631">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
        </w:rPr>
        <w:t>大型仪器间和办公</w:t>
      </w:r>
      <w:r>
        <w:rPr>
          <w:rFonts w:hint="eastAsia" w:asciiTheme="minorEastAsia" w:hAnsiTheme="minorEastAsia" w:eastAsiaTheme="minorEastAsia" w:cstheme="minorEastAsia"/>
          <w:color w:val="auto"/>
          <w:sz w:val="24"/>
          <w:szCs w:val="24"/>
          <w:highlight w:val="none"/>
        </w:rPr>
        <w:t>区</w:t>
      </w:r>
      <w:r>
        <w:rPr>
          <w:rFonts w:hint="eastAsia" w:asciiTheme="minorEastAsia" w:hAnsiTheme="minorEastAsia" w:eastAsiaTheme="minorEastAsia" w:cstheme="minorEastAsia"/>
          <w:color w:val="auto"/>
          <w:sz w:val="24"/>
          <w:szCs w:val="24"/>
          <w:highlight w:val="none"/>
          <w:lang w:eastAsia="zh"/>
        </w:rPr>
        <w:t>、G</w:t>
      </w:r>
      <w:r>
        <w:rPr>
          <w:rFonts w:hint="eastAsia" w:asciiTheme="minorEastAsia" w:hAnsiTheme="minorEastAsia" w:cstheme="minorEastAsia"/>
          <w:color w:val="auto"/>
          <w:sz w:val="24"/>
          <w:szCs w:val="24"/>
          <w:highlight w:val="none"/>
          <w:lang w:val="en-US" w:eastAsia="zh-CN"/>
        </w:rPr>
        <w:t>MP</w:t>
      </w:r>
      <w:r>
        <w:rPr>
          <w:rFonts w:hint="eastAsia" w:asciiTheme="minorEastAsia" w:hAnsiTheme="minorEastAsia" w:eastAsiaTheme="minorEastAsia" w:cstheme="minorEastAsia"/>
          <w:color w:val="auto"/>
          <w:sz w:val="24"/>
          <w:szCs w:val="24"/>
          <w:highlight w:val="none"/>
          <w:lang w:eastAsia="zh"/>
        </w:rPr>
        <w:t>清洁区</w:t>
      </w:r>
      <w:r>
        <w:rPr>
          <w:rFonts w:hint="eastAsia" w:asciiTheme="minorEastAsia" w:hAnsiTheme="minorEastAsia" w:eastAsiaTheme="minorEastAsia" w:cstheme="minorEastAsia"/>
          <w:color w:val="auto"/>
          <w:sz w:val="24"/>
          <w:szCs w:val="24"/>
          <w:highlight w:val="none"/>
        </w:rPr>
        <w:t>采用新风空调机组+风机盘管+光催化静电介质空气净化器的空气处理方式</w:t>
      </w:r>
      <w:r>
        <w:rPr>
          <w:rFonts w:hint="eastAsia" w:asciiTheme="minorEastAsia" w:hAnsiTheme="minorEastAsia" w:eastAsiaTheme="minorEastAsia" w:cstheme="minorEastAsia"/>
          <w:color w:val="auto"/>
          <w:sz w:val="24"/>
          <w:szCs w:val="24"/>
          <w:highlight w:val="none"/>
          <w:lang w:eastAsia="zh"/>
        </w:rPr>
        <w:t>；GMP实验室净化区按区进行划分系统进行，根据区域分别独立设置一套循环空调机组，循环机组机组新风采用深度除湿的方式进行处理，然后送入各个循环机组内，每套空调机组配置一套臭氧消毒装置，房间门口设置微压计</w:t>
      </w:r>
      <w:r>
        <w:rPr>
          <w:rFonts w:hint="eastAsia" w:asciiTheme="minorEastAsia" w:hAnsiTheme="minorEastAsia" w:eastAsiaTheme="minorEastAsia" w:cstheme="minorEastAsia"/>
          <w:color w:val="auto"/>
          <w:sz w:val="24"/>
          <w:szCs w:val="24"/>
          <w:highlight w:val="none"/>
        </w:rPr>
        <w:t>。</w:t>
      </w:r>
    </w:p>
    <w:p w14:paraId="6E56AF28">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5净化空调系统自动化控制设计</w:t>
      </w:r>
    </w:p>
    <w:p w14:paraId="7106393C">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（1）空调自控系统：所有水系统的组合式空调机组均在回水管上设置电动</w:t>
      </w:r>
      <w:r>
        <w:rPr>
          <w:rFonts w:hint="eastAsia" w:asciiTheme="minorEastAsia" w:hAnsiTheme="minorEastAsia" w:eastAsiaTheme="minorEastAsia" w:cstheme="minorEastAsia"/>
          <w:color w:val="auto"/>
          <w:sz w:val="24"/>
          <w:szCs w:val="24"/>
          <w:highlight w:val="none"/>
          <w:lang w:eastAsia="zh"/>
        </w:rPr>
        <w:t>三</w:t>
      </w:r>
      <w:r>
        <w:rPr>
          <w:rFonts w:hint="eastAsia" w:asciiTheme="minorEastAsia" w:hAnsiTheme="minorEastAsia" w:eastAsiaTheme="minorEastAsia" w:cstheme="minorEastAsia"/>
          <w:color w:val="auto"/>
          <w:sz w:val="24"/>
          <w:szCs w:val="24"/>
          <w:highlight w:val="none"/>
        </w:rPr>
        <w:t>通调节阀（电动比例积分调节阀）；风机盘管在回水管上设置电动</w:t>
      </w:r>
      <w:r>
        <w:rPr>
          <w:rFonts w:hint="eastAsia" w:asciiTheme="minorEastAsia" w:hAnsiTheme="minorEastAsia" w:eastAsiaTheme="minorEastAsia" w:cstheme="minorEastAsia"/>
          <w:color w:val="auto"/>
          <w:sz w:val="24"/>
          <w:szCs w:val="24"/>
          <w:highlight w:val="none"/>
          <w:lang w:eastAsia="zh"/>
        </w:rPr>
        <w:t>三</w:t>
      </w:r>
      <w:r>
        <w:rPr>
          <w:rFonts w:hint="eastAsia" w:asciiTheme="minorEastAsia" w:hAnsiTheme="minorEastAsia" w:eastAsiaTheme="minorEastAsia" w:cstheme="minorEastAsia"/>
          <w:color w:val="auto"/>
          <w:sz w:val="24"/>
          <w:szCs w:val="24"/>
          <w:highlight w:val="none"/>
        </w:rPr>
        <w:t>通阀。其中医用全新风空调机组在新、排风管上设置温湿度传感器，根据空调排风温湿度控制水管电动</w:t>
      </w:r>
      <w:r>
        <w:rPr>
          <w:rFonts w:hint="eastAsia" w:asciiTheme="minorEastAsia" w:hAnsiTheme="minorEastAsia" w:eastAsiaTheme="minorEastAsia" w:cstheme="minorEastAsia"/>
          <w:color w:val="auto"/>
          <w:sz w:val="24"/>
          <w:szCs w:val="24"/>
          <w:highlight w:val="none"/>
          <w:lang w:eastAsia="zh"/>
        </w:rPr>
        <w:t>三</w:t>
      </w:r>
      <w:r>
        <w:rPr>
          <w:rFonts w:hint="eastAsia" w:asciiTheme="minorEastAsia" w:hAnsiTheme="minorEastAsia" w:eastAsiaTheme="minorEastAsia" w:cstheme="minorEastAsia"/>
          <w:color w:val="auto"/>
          <w:sz w:val="24"/>
          <w:szCs w:val="24"/>
          <w:highlight w:val="none"/>
        </w:rPr>
        <w:t>通阀开度。医用新风空调机组在送风管道上设置温度传感器根据送风温度控制水管电动</w:t>
      </w:r>
      <w:r>
        <w:rPr>
          <w:rFonts w:hint="eastAsia" w:asciiTheme="minorEastAsia" w:hAnsiTheme="minorEastAsia" w:eastAsiaTheme="minorEastAsia" w:cstheme="minorEastAsia"/>
          <w:color w:val="auto"/>
          <w:sz w:val="24"/>
          <w:szCs w:val="24"/>
          <w:highlight w:val="none"/>
          <w:lang w:eastAsia="zh"/>
        </w:rPr>
        <w:t>三</w:t>
      </w:r>
      <w:r>
        <w:rPr>
          <w:rFonts w:hint="eastAsia" w:asciiTheme="minorEastAsia" w:hAnsiTheme="minorEastAsia" w:eastAsiaTheme="minorEastAsia" w:cstheme="minorEastAsia"/>
          <w:color w:val="auto"/>
          <w:sz w:val="24"/>
          <w:szCs w:val="24"/>
          <w:highlight w:val="none"/>
        </w:rPr>
        <w:t>通阀开度。由于空调负荷侧采用变流量系统，为保证空调水系统的正常运行，在空调供回水干管之间设压差控制器，以平衡负荷侧流量变化。</w:t>
      </w:r>
    </w:p>
    <w:p w14:paraId="4C2511A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（2）每个系统的新风管接新风机组前新风管安装电动密闭风阀，电动密闭阀的开关和空调机组连锁，空调机组开电动密闭阀打开，空调机组关电动密闭阀关闭。</w:t>
      </w:r>
    </w:p>
    <w:p w14:paraId="47DA088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（3）每台全新风空调机组及新风空调机组内的</w:t>
      </w:r>
      <w:r>
        <w:rPr>
          <w:rFonts w:hint="eastAsia" w:asciiTheme="minorEastAsia" w:hAnsiTheme="minorEastAsia" w:eastAsiaTheme="minorEastAsia" w:cstheme="minorEastAsia"/>
          <w:color w:val="auto"/>
          <w:sz w:val="24"/>
          <w:szCs w:val="24"/>
          <w:highlight w:val="none"/>
          <w:lang w:eastAsia="zh"/>
        </w:rPr>
        <w:t>初、</w:t>
      </w:r>
      <w:r>
        <w:rPr>
          <w:rFonts w:hint="eastAsia" w:asciiTheme="minorEastAsia" w:hAnsiTheme="minorEastAsia" w:eastAsiaTheme="minorEastAsia" w:cstheme="minorEastAsia"/>
          <w:color w:val="auto"/>
          <w:sz w:val="24"/>
          <w:szCs w:val="24"/>
          <w:highlight w:val="none"/>
        </w:rPr>
        <w:t>中效过滤器和全新风空调机组系统末端的高效过滤器（典型房间）设置压差报警装置。</w:t>
      </w:r>
    </w:p>
    <w:p w14:paraId="2F34CED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空调系统应遵循以下开关及顺序：夏季：正压系统，先开送风机，再开排风机，然后开启冷源设备；关机时顺序相反；负压系统，先开排风机，再开送风机，然后开启冷源设备；关机时顺序相反。冬季：正压系统，先开启热源设备，再开送风机，再开排风机；关机时顺序相反；负压系统，先开启热源设备，再开排风机，再开送风机；关机时顺序相反。</w:t>
      </w:r>
    </w:p>
    <w:p w14:paraId="5311A7F6">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6节能环保设计</w:t>
      </w:r>
    </w:p>
    <w:p w14:paraId="11D8A8AA">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（1）组合式空调机组的供、回水管间安装电动</w:t>
      </w:r>
      <w:r>
        <w:rPr>
          <w:rFonts w:hint="eastAsia" w:asciiTheme="minorEastAsia" w:hAnsiTheme="minorEastAsia" w:eastAsiaTheme="minorEastAsia" w:cstheme="minorEastAsia"/>
          <w:color w:val="auto"/>
          <w:sz w:val="24"/>
          <w:szCs w:val="24"/>
          <w:highlight w:val="none"/>
          <w:lang w:eastAsia="zh"/>
        </w:rPr>
        <w:t>三</w:t>
      </w:r>
      <w:r>
        <w:rPr>
          <w:rFonts w:hint="eastAsia" w:asciiTheme="minorEastAsia" w:hAnsiTheme="minorEastAsia" w:eastAsiaTheme="minorEastAsia" w:cstheme="minorEastAsia"/>
          <w:color w:val="auto"/>
          <w:sz w:val="24"/>
          <w:szCs w:val="24"/>
          <w:highlight w:val="none"/>
        </w:rPr>
        <w:t>通调节阀，根据室内温度或相对湿度调整冷、热盘管的水流量。</w:t>
      </w:r>
    </w:p>
    <w:p w14:paraId="22A47013">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（2）在过渡季节及冬季采用新风承担部分房间的冷负荷。</w:t>
      </w:r>
    </w:p>
    <w:p w14:paraId="4903EF42">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（3）组合式空调机组采用变频风机，变频控制风量达到节能。各送、排风系统的送、排风机均采用低噪节能风机箱。</w:t>
      </w:r>
    </w:p>
    <w:p w14:paraId="2F0D2FB3">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（4）管道（风管、水管）采用高效、节能型的材料或保温材料，避免能源浪费，达到安全节能的目的。</w:t>
      </w:r>
    </w:p>
    <w:p w14:paraId="012C1C49">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7防火要求</w:t>
      </w:r>
    </w:p>
    <w:p w14:paraId="7B76DE2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（1）水管穿越防火墙的位置应采用不燃烧材料将其周围的空隙塞填密实，穿过防火墙处的管道保温材料，应采用不燃材料。</w:t>
      </w:r>
    </w:p>
    <w:p w14:paraId="28CABF45">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（2）通风空调管道采用不燃材料制作，风机进出口软接头采用不燃材料制作。</w:t>
      </w:r>
    </w:p>
    <w:p w14:paraId="49B2C53E">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（3）穿过防火分区处、穿越空调机房的房间隔墙处和楼板处设置70度防火阀。</w:t>
      </w:r>
    </w:p>
    <w:p w14:paraId="07E5E91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（4）防火阀以靠近防火分隔处设置。</w:t>
      </w:r>
    </w:p>
    <w:p w14:paraId="62C0A3F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（5）防火阀暗装时，应在安装部位设置方便维护的检修口。</w:t>
      </w:r>
    </w:p>
    <w:p w14:paraId="1D9EFB82">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（6）在防火阀两侧各2.0m范围内的风管及其绝热材料应采用不然材料。</w:t>
      </w:r>
    </w:p>
    <w:p w14:paraId="5E6F0D2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（7）防火阀应符合现行国家标准《建筑通风和排烟系统用防火阀门》GB15930的规定。</w:t>
      </w:r>
    </w:p>
    <w:p w14:paraId="7CEB5CD6">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（8）风管、水管材质和保温要求</w:t>
      </w:r>
      <w:r>
        <w:rPr>
          <w:rFonts w:hint="eastAsia" w:asciiTheme="minorEastAsia" w:hAnsiTheme="minorEastAsia" w:eastAsiaTheme="minorEastAsia" w:cstheme="minorEastAsia"/>
          <w:color w:val="auto"/>
          <w:sz w:val="24"/>
          <w:szCs w:val="24"/>
          <w:highlight w:val="none"/>
          <w:lang w:eastAsia="zh"/>
        </w:rPr>
        <w:t>：</w:t>
      </w:r>
      <w:r>
        <w:rPr>
          <w:rFonts w:hint="eastAsia" w:asciiTheme="minorEastAsia" w:hAnsiTheme="minorEastAsia" w:eastAsiaTheme="minorEastAsia" w:cstheme="minorEastAsia"/>
          <w:color w:val="auto"/>
          <w:sz w:val="24"/>
          <w:szCs w:val="24"/>
          <w:highlight w:val="none"/>
        </w:rPr>
        <w:t>风管采用</w:t>
      </w:r>
      <w:r>
        <w:rPr>
          <w:rFonts w:hint="eastAsia" w:asciiTheme="minorEastAsia" w:hAnsiTheme="minorEastAsia" w:eastAsiaTheme="minorEastAsia" w:cstheme="minorEastAsia"/>
          <w:color w:val="auto"/>
          <w:sz w:val="24"/>
          <w:szCs w:val="24"/>
          <w:highlight w:val="none"/>
          <w:lang w:eastAsia="zh"/>
        </w:rPr>
        <w:t>热</w:t>
      </w:r>
      <w:r>
        <w:rPr>
          <w:rFonts w:hint="eastAsia" w:asciiTheme="minorEastAsia" w:hAnsiTheme="minorEastAsia" w:eastAsiaTheme="minorEastAsia" w:cstheme="minorEastAsia"/>
          <w:color w:val="auto"/>
          <w:sz w:val="24"/>
          <w:szCs w:val="24"/>
          <w:highlight w:val="none"/>
        </w:rPr>
        <w:t>镀锌钢板制</w:t>
      </w:r>
      <w:r>
        <w:rPr>
          <w:rFonts w:hint="eastAsia" w:asciiTheme="minorEastAsia" w:hAnsiTheme="minorEastAsia" w:eastAsiaTheme="minorEastAsia" w:cstheme="minorEastAsia"/>
          <w:color w:val="auto"/>
          <w:sz w:val="24"/>
          <w:szCs w:val="24"/>
          <w:highlight w:val="none"/>
          <w:lang w:eastAsia="zh"/>
        </w:rPr>
        <w:t>作，风管采用法兰连接</w:t>
      </w:r>
      <w:r>
        <w:rPr>
          <w:rFonts w:hint="eastAsia" w:asciiTheme="minorEastAsia" w:hAnsiTheme="minorEastAsia" w:eastAsiaTheme="minorEastAsia" w:cstheme="minorEastAsia"/>
          <w:color w:val="auto"/>
          <w:sz w:val="24"/>
          <w:szCs w:val="24"/>
          <w:highlight w:val="none"/>
        </w:rPr>
        <w:t>。风管做法及板材厚度详见《通风空调质量验收规范》；各系统风管在穿过楼板、顶棚和墙壁处，风管应连续。</w:t>
      </w:r>
      <w:r>
        <w:rPr>
          <w:rFonts w:hint="eastAsia" w:asciiTheme="minorEastAsia" w:hAnsiTheme="minorEastAsia" w:eastAsiaTheme="minorEastAsia" w:cstheme="minorEastAsia"/>
          <w:color w:val="auto"/>
          <w:sz w:val="24"/>
          <w:szCs w:val="24"/>
          <w:highlight w:val="none"/>
          <w:lang w:eastAsia="zh"/>
        </w:rPr>
        <w:t>风管穿越机房、楼板、防火墙、伸缩缝，应采用厚度为2mm的镀锌钢板制作，穿越处风管上的防火阀、排烟防火阀两侧各2.0m范围内风管应采用耐火风管或风管外壁应采取防火措施，且耐火极限不应低于该防火分隔体的耐火极限，防火保护、防火封堵措施详见国标图集《防排烟及暖通防火设计审查与安装》20K607中“防火风管、防火封堵说明”章节。所有防火阀距离隔墙处不得超过200mm。当过风管穿过需要封闭的防火、防爆墙体或楼板，必须设置厚度不小于1.6mm的钢制防护套管，风管与防火套管之间应采用不燃柔性材料封堵严密，封堵材料。用不燃且对人体无害的保温材料填塞密实，材料密实堵严，防火阀安装应注意便于更换温度熔断器，并应在其调节把手处设置吊顶检查孔（350x350mm）防火阀应独立设置支吊架。施工详见风管 穿越楼板/防火墙做法示意图、风管穿越沉降缝做法示意图</w:t>
      </w:r>
      <w:r>
        <w:rPr>
          <w:rFonts w:hint="eastAsia" w:asciiTheme="minorEastAsia" w:hAnsiTheme="minorEastAsia" w:eastAsiaTheme="minorEastAsia" w:cstheme="minorEastAsia"/>
          <w:color w:val="auto"/>
          <w:sz w:val="24"/>
          <w:szCs w:val="24"/>
          <w:highlight w:val="none"/>
        </w:rPr>
        <w:t>。空调系统的送风、回风、排风风管均采用橡塑复合保温材料（难燃B1级，氧指数大于32，导热系数0.036W/m·K）。空调送风、回风和排风管</w:t>
      </w:r>
      <w:r>
        <w:rPr>
          <w:rFonts w:hint="eastAsia" w:asciiTheme="minorEastAsia" w:hAnsiTheme="minorEastAsia" w:eastAsiaTheme="minorEastAsia" w:cstheme="minorEastAsia"/>
          <w:color w:val="auto"/>
          <w:sz w:val="24"/>
          <w:szCs w:val="24"/>
          <w:highlight w:val="none"/>
          <w:lang w:eastAsia="zh"/>
        </w:rPr>
        <w:t>及其部件</w:t>
      </w:r>
      <w:r>
        <w:rPr>
          <w:rFonts w:hint="eastAsia" w:asciiTheme="minorEastAsia" w:hAnsiTheme="minorEastAsia" w:eastAsiaTheme="minorEastAsia" w:cstheme="minorEastAsia"/>
          <w:color w:val="auto"/>
          <w:sz w:val="24"/>
          <w:szCs w:val="24"/>
          <w:highlight w:val="none"/>
        </w:rPr>
        <w:t>保温厚度均为30mm。</w:t>
      </w:r>
    </w:p>
    <w:p w14:paraId="18E717CE">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（9）空调冷冻水系统和空调热水系统均采用钢管：当管径D≤32时，采用镀锌钢管，丝扣连接；当D≥40时，采用焊接钢管，焊接连接；当管径D≥100时，采用无缝钢管，焊接连接；冷凝水管采用UPVC管，胶接。</w:t>
      </w:r>
    </w:p>
    <w:p w14:paraId="7217CEBC">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（10）本项目主用的水阀，DN50及以下规格，采用闸阀、铜材质；DN65及以上规格的，采用蝶阀、铸铁材质。空调机组回水支管设置电动</w:t>
      </w:r>
      <w:r>
        <w:rPr>
          <w:rFonts w:hint="eastAsia" w:asciiTheme="minorEastAsia" w:hAnsiTheme="minorEastAsia" w:eastAsiaTheme="minorEastAsia" w:cstheme="minorEastAsia"/>
          <w:color w:val="auto"/>
          <w:sz w:val="24"/>
          <w:szCs w:val="24"/>
          <w:highlight w:val="none"/>
          <w:lang w:eastAsia="zh"/>
        </w:rPr>
        <w:t>三</w:t>
      </w:r>
      <w:r>
        <w:rPr>
          <w:rFonts w:hint="eastAsia" w:asciiTheme="minorEastAsia" w:hAnsiTheme="minorEastAsia" w:eastAsiaTheme="minorEastAsia" w:cstheme="minorEastAsia"/>
          <w:color w:val="auto"/>
          <w:sz w:val="24"/>
          <w:szCs w:val="24"/>
          <w:highlight w:val="none"/>
        </w:rPr>
        <w:t>通调节阀和蝶阀（管径小于等于40为截止阀），供水支管设置蝶阀（管径小于等于40为截止阀）。</w:t>
      </w:r>
    </w:p>
    <w:p w14:paraId="71763A96">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（11）空调冷水供回水管均采用橡塑复合保温材料（难燃B1级，氧指数大于32，导热系数0.036W/m·K）。DN≤150的冷冻水管保温厚度25mm；DN≥200的冷冻水管保温厚度30mm。凝结水管道保温厚度为20 mm。</w:t>
      </w:r>
    </w:p>
    <w:p w14:paraId="63E1B2C4">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风管、水管施工工艺要求。管道穿墙及楼板处应加套管，待管道安装完毕后予以堵严。保温层外表应平整，密封、无胀裂或松弛现象，保温结束后不得在风管壁上开孔和上螺钉，不得破坏保温系统的密封性。</w:t>
      </w:r>
    </w:p>
    <w:p w14:paraId="53EE61A1">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（13）在风管穿越处用不燃材料密实堵严。风管穿越机房、楼板、防火墙处防火阀的安装应便于更换温度熔断器，并应在其调节把手处设一吊顶检查口（350×350），防火阀应设独立的吊支架。</w:t>
      </w:r>
    </w:p>
    <w:p w14:paraId="602EF3D9">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（14）空调安装施工必须在土建装修完成后开始，施工开始前应将施工现场打扫干净。风管安装前应擦拭干净，达到风管内部无油污，无浮尘。</w:t>
      </w:r>
    </w:p>
    <w:p w14:paraId="30EC7894">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（15）施工完毕或暂停施工期间应将风管开口处封闭，防止灰尘进入。</w:t>
      </w:r>
    </w:p>
    <w:p w14:paraId="39BC3CF1">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法兰螺钉孔和铆钉孔间距不应大于100mm，风管法兰密封垫采用海绵橡胶，厚度为6mm。风管与设备连接处应设光面人造革软接头，长度小于等于200mm，光面向里。风管安装后，保温之前应用漏光法进行漏风检查。吊顶及隔断施工过程中，应注意表面光滑，没有毛刺和破损，以保证洁净室的严密性和整洁。</w:t>
      </w:r>
    </w:p>
    <w:p w14:paraId="1469BBA2">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（17）管道穿墙及楼板处应加套管，待管道安装完毕后予以堵严。管道安装应有坡度，采暖和空调的供回水管的坡度为0.003；冷凝水管的坡度为0.01。管道高点设自动（手动）放气阀；低点设泄水装置。</w:t>
      </w:r>
    </w:p>
    <w:p w14:paraId="7EB70DC8">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管道吊支架应尽量安装在梁柱上，并应做好预埋件的配合工作。当安装于楼板上时，一般采用膨胀螺栓紧固；对承重大的吊架则应采用楼板面预埋钢板，拉杆螺栓焊接：砖墙上为钢托架安装。土建施工时要与其做好预埋件的配合工作。大管径水管则用角钢紧固于梁上，再按做吊托架的方法安装。</w:t>
      </w:r>
    </w:p>
    <w:p w14:paraId="5A8063F6">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（19）所有水管及风管穿越防火分区时，管道与墙体的缝隙须严密封堵。做法详当地安装图集。本工程所用单层百叶，双层百叶风口的净通风面积不得小于公称尺寸面积的70%。</w:t>
      </w:r>
    </w:p>
    <w:p w14:paraId="1289AEB8">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5.8</w:t>
      </w:r>
      <w:r>
        <w:rPr>
          <w:rFonts w:hint="eastAsia" w:asciiTheme="minorEastAsia" w:hAnsiTheme="minorEastAsia" w:eastAsiaTheme="minorEastAsia" w:cstheme="minorEastAsia"/>
          <w:color w:val="auto"/>
          <w:sz w:val="24"/>
          <w:szCs w:val="24"/>
          <w:highlight w:val="none"/>
        </w:rPr>
        <w:t>抗震支吊架设置要求</w:t>
      </w:r>
    </w:p>
    <w:p w14:paraId="71433798">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抗震设计应满足《建筑抗震设计规范》（GB 50011-2010）、《建筑机电工程抗震设计规范》（GB 50981-2014）及《建筑与市政工程抗震通用规范》（GB 55002-2021）的相关要求。</w:t>
      </w:r>
    </w:p>
    <w:p w14:paraId="6218A9DE">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（1）依据《建筑机电工程抗震设计规范》（GB50981-2014）第8.1.2条的规定，抗震支架采用成品支架构件；</w:t>
      </w:r>
    </w:p>
    <w:p w14:paraId="29F0C29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（2）抗震支吊架初设间距应满足《建筑机电工程抗震设计规范》（GB50981-2014）第8.2.3条要求，且满足表8.2.3规定，并由专业厂商进行设计排布及计算。</w:t>
      </w:r>
    </w:p>
    <w:p w14:paraId="64360FDC">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（3）为确保安装连接可靠性，抗震支架系统应具备耐火测试和抗冲击测试认证报告，且使用的连接扣件必须是一体式连接扣件。</w:t>
      </w:r>
    </w:p>
    <w:p w14:paraId="3247E61F">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（4）弹性设计时，拉剪复合受力下锚栓钢材和混凝土破坏承载力应按JGJ145-2013公式（6.1.28）（6.1.29）复核计算。</w:t>
      </w:r>
    </w:p>
    <w:p w14:paraId="57FB92DB">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（5）抗震支吊架产品需通过设计院认可的满足《建筑机电设备抗震支吊架通用技术条件》（CJ/T476-2015）的国家级检测报告。</w:t>
      </w:r>
    </w:p>
    <w:p w14:paraId="3D07768D">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（6）建筑附属机电设备不应设置在可能致使其功能障碍等二次灾害的部位；设防地震下需要连续工作的附属设备，应设置在建筑结构地震反应较小的部位。</w:t>
      </w:r>
    </w:p>
    <w:p w14:paraId="09113CA9">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（7）管道、电缆、通风管和设备的洞口设置，应减少对主要承重结构构件的削弱；洞口边缘应有补强措施。管道和设备与建筑结构的连接，应具有足够的变形能力，以满足相对位移的需要。</w:t>
      </w:r>
    </w:p>
    <w:p w14:paraId="6812A137">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（8）建筑附属机电设备的基座或支架，以及相关连接件和锚固件应具有足够的刚度和强度，应能将设备承受的地震作用全部传递到建筑结构上。</w:t>
      </w:r>
    </w:p>
    <w:p w14:paraId="53CDFA05">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（9）建筑结构中，用以固定建筑附属机电设备预埋件、锚固件的部位，应采取加强措施，以承受附属机电设备传给主体结构的地震作用。</w:t>
      </w:r>
    </w:p>
    <w:p w14:paraId="661A4737">
      <w:pPr>
        <w:pageBreakBefore w:val="0"/>
        <w:kinsoku/>
        <w:wordWrap/>
        <w:overflowPunct/>
        <w:topLinePunct w:val="0"/>
        <w:bidi w:val="0"/>
        <w:spacing w:line="400" w:lineRule="exact"/>
        <w:textAlignment w:val="auto"/>
        <w:outlineLvl w:val="2"/>
        <w:rPr>
          <w:rFonts w:hint="eastAsia" w:asciiTheme="minorEastAsia" w:hAnsiTheme="minorEastAsia" w:eastAsiaTheme="minorEastAsia" w:cstheme="minorEastAsia"/>
          <w:b/>
          <w:color w:val="auto"/>
          <w:sz w:val="24"/>
          <w:szCs w:val="24"/>
          <w:highlight w:val="none"/>
        </w:rPr>
      </w:pPr>
      <w:bookmarkStart w:id="21" w:name="_Toc98605184"/>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消防设计</w:t>
      </w:r>
      <w:bookmarkEnd w:id="21"/>
    </w:p>
    <w:p w14:paraId="79D79AF7">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.1编制依据</w:t>
      </w:r>
    </w:p>
    <w:p w14:paraId="2C7452E1">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《中华人民共和国消防条例》；</w:t>
      </w:r>
    </w:p>
    <w:p w14:paraId="5DF53018">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《综合医院建筑设计规范》（GB51039-2014）；</w:t>
      </w:r>
    </w:p>
    <w:p w14:paraId="56E6AEAD">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《建筑灭火器配置设计规范》（GB50140-2005）；</w:t>
      </w:r>
    </w:p>
    <w:p w14:paraId="1FF3434B">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《建筑内部装修设计防火规范》（GB50222-2017）；</w:t>
      </w:r>
    </w:p>
    <w:p w14:paraId="21509B10">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《室外给水设计标准》（GB50013-2018）；</w:t>
      </w:r>
    </w:p>
    <w:p w14:paraId="1C7B4253">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《民用建筑设计统一标准》（GB50352-2019）；</w:t>
      </w:r>
    </w:p>
    <w:p w14:paraId="40A6BF34">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《自动喷水灭火系统设计规范》（GB50084-2017）；</w:t>
      </w:r>
    </w:p>
    <w:p w14:paraId="747DF96F">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《消防给水及消火栓系统技术规范》（GB50974-2014）；</w:t>
      </w:r>
    </w:p>
    <w:p w14:paraId="482BC1A0">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《建筑防火通用规范》（GB55037-2022）；</w:t>
      </w:r>
    </w:p>
    <w:p w14:paraId="74E708EA">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《建筑防烟排烟系统技术标准》(GB51251-2017)；</w:t>
      </w:r>
    </w:p>
    <w:p w14:paraId="38A92315">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《消防设施通用规范》（GB55036-2022）；</w:t>
      </w:r>
    </w:p>
    <w:p w14:paraId="5EEB6EEB">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《建筑设计防火规范》（GB50016-2014）（2018版）</w:t>
      </w:r>
      <w:r>
        <w:rPr>
          <w:rFonts w:hint="eastAsia" w:asciiTheme="minorEastAsia" w:hAnsiTheme="minorEastAsia" w:eastAsiaTheme="minorEastAsia" w:cstheme="minorEastAsia"/>
          <w:color w:val="auto"/>
          <w:sz w:val="24"/>
          <w:szCs w:val="24"/>
          <w:highlight w:val="none"/>
          <w:lang w:eastAsia="zh-CN"/>
        </w:rPr>
        <w:t>；</w:t>
      </w:r>
    </w:p>
    <w:p w14:paraId="09D9CF2D">
      <w:pPr>
        <w:pageBreakBefore w:val="0"/>
        <w:numPr>
          <w:ilvl w:val="0"/>
          <w:numId w:val="19"/>
        </w:numPr>
        <w:tabs>
          <w:tab w:val="left" w:pos="720"/>
        </w:tabs>
        <w:kinsoku/>
        <w:wordWrap/>
        <w:overflowPunct/>
        <w:topLinePunct w:val="0"/>
        <w:bidi w:val="0"/>
        <w:spacing w:line="400" w:lineRule="exact"/>
        <w:ind w:left="0" w:leftChars="0" w:firstLine="0" w:firstLineChars="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《民用建筑通用规范》（GB55031-2022）</w:t>
      </w:r>
      <w:r>
        <w:rPr>
          <w:rFonts w:hint="eastAsia" w:asciiTheme="minorEastAsia" w:hAnsiTheme="minorEastAsia" w:eastAsiaTheme="minorEastAsia" w:cstheme="minorEastAsia"/>
          <w:color w:val="auto"/>
          <w:sz w:val="24"/>
          <w:szCs w:val="24"/>
          <w:highlight w:val="none"/>
          <w:lang w:eastAsia="zh-CN"/>
        </w:rPr>
        <w:t>；</w:t>
      </w:r>
    </w:p>
    <w:p w14:paraId="7F41618D">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2给排水专业设计</w:t>
      </w:r>
    </w:p>
    <w:p w14:paraId="4F2743A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6.2.1原消防系统</w:t>
      </w:r>
    </w:p>
    <w:p w14:paraId="1807780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（1）概述</w:t>
      </w:r>
    </w:p>
    <w:p w14:paraId="29BA18F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工程按一类高层公共建筑进行防火设计（V＞50000m3），消防泵房及水池统一设置。室内消火栓用水量为40L/s，室外消火栓用水量为40L/s，火灾持续时间3小时，自动喷淋用水量为55L/s，火灾持续时间1小时。防火卷帘均采用背面温升耐火极限不小于3小时的复合特级防火卷帘，不设水系统保护。消防总水量为1062m3，其中室外消防用水量432m3，室内消防用水量630m3。</w:t>
      </w:r>
    </w:p>
    <w:p w14:paraId="1A5758C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室内消防用水全部储存在消防水池内，消防水池设于医疗综合楼地下一层消防水泵房内，消防水池有效容积为630m3。北病房楼屋顶设36m3高位水箱，水箱底标高46.10m（相对于医疗综合楼标高±0.00），可以满足消防前期用水要求。</w:t>
      </w:r>
    </w:p>
    <w:p w14:paraId="20366177">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（2）室内消火栓系统</w:t>
      </w:r>
    </w:p>
    <w:p w14:paraId="072EA2F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1）室内消火栓加压泵设在医疗综合楼地下一层消防水泵房内，消防水泵采用卧式消防专用泵，一用一备。</w:t>
      </w:r>
    </w:p>
    <w:p w14:paraId="5652F32D">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2）北病房楼屋面消防水箱底标高为46.10m（相对于医疗综合楼标高±0.00），至最高层消火栓口静水压力不足10m，屋面设置一套消火栓稳压系统。</w:t>
      </w:r>
    </w:p>
    <w:p w14:paraId="541E6362">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（3）自动喷水灭火系统</w:t>
      </w:r>
    </w:p>
    <w:p w14:paraId="35C2F950">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工程医疗综合楼主街中庭及门诊大厅上空净高超过18m，设置自动跟踪定位射流灭火系统进行保护外，其余部位均设置闭式自动喷淋系统保护。自动跟踪定位射流灭火系统单独设置供水管与报警阀前自动喷淋供水管连接。</w:t>
      </w:r>
    </w:p>
    <w:p w14:paraId="470017F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地下车库设置自动喷水灭火系统，采用添加水成膜泡沫灭火剂进行补强，自动喷水灭火系统按三层机械车库、中危险Ⅱ级、作用面积160m2设计，自动喷水灭火系统设计用水量为55L/s，车库内泡沫灭火剂具体详专业厂家进行深化设计。泡沫液供给管采用不锈钢管。</w:t>
      </w:r>
    </w:p>
    <w:p w14:paraId="2511BEBB">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各楼仓库及药库设置湿式自动喷水灭火系统，其中戊类仓库，按仓危I级（单、双、多排货架，最大储物高度为3.0m）设置，喷水强度6L/s.m2，作用面积160m2，喷水时间为1.5h，药库及其余库房按仓危II级（单、双、多排货架，最大储物高度为3.0m）设置，喷水强度8L/s.m2，作用面积160m2，喷水时间为1.5h.系统流量为35L/s。其余部分（包括感染楼）设置湿式自动喷水灭火系统，按中危险I级设置，喷水强度6L/s.m2，作用面积160m2，自动喷水灭火系统最大设计用水量为40L/s。</w:t>
      </w:r>
    </w:p>
    <w:p w14:paraId="34BC643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4）自动喷淋加压泵设在医疗综合楼地下一层消防水泵房内，自动喷淋加压泵采用消防专用泵，一用一备。感染楼喷淋系统给水由医疗综合楼主喷淋干管通过室外埋地管道供给。</w:t>
      </w:r>
    </w:p>
    <w:p w14:paraId="59ACDB9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5）北病房楼屋面消防水箱底标高为46.10m（相对于医疗综合楼标高±0.00），至最高层消火栓口静水压力不足10m，屋面设置一套喷淋稳压系统。</w:t>
      </w:r>
    </w:p>
    <w:p w14:paraId="4925F550">
      <w:pPr>
        <w:pageBreakBefore w:val="0"/>
        <w:kinsoku/>
        <w:wordWrap/>
        <w:overflowPunct/>
        <w:topLinePunct w:val="0"/>
        <w:bidi w:val="0"/>
        <w:spacing w:line="40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6.2.2提升工程</w:t>
      </w:r>
    </w:p>
    <w:p w14:paraId="6EAB518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（1）本工程不改变其建筑主体性质，即消防水量不变，原主体消防水池水量满足本次改动后消防水量。尽量利用原有消防系统，根据布局改变调整室内消火栓及自动喷水灭火系统末端管网。</w:t>
      </w:r>
    </w:p>
    <w:p w14:paraId="7EE6740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（2）室内消火栓灭火系统</w:t>
      </w:r>
    </w:p>
    <w:p w14:paraId="7B4C8CF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室内消火栓灭火系统由消防泵房内的消火栓加压泵（一用一备）提供。喷淋泵的型号规格为：XBD9/60-SLW150-315(I)A（Q=40L/s，H=99m，N=90kW）。</w:t>
      </w:r>
    </w:p>
    <w:p w14:paraId="45735017">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1）消火栓尽量设置于走道、公共场所等方便取用的位置。</w:t>
      </w:r>
    </w:p>
    <w:p w14:paraId="730CD047">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2）消火栓的间距不大于30m，最不利消火栓栓口设计压力不小于0.35Mpa。</w:t>
      </w:r>
    </w:p>
    <w:p w14:paraId="1C7A8C9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3）屋面设置一只装有压力显示装置的试验消火栓。</w:t>
      </w:r>
    </w:p>
    <w:p w14:paraId="65DAD87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4）消火栓采用SG24A65Z型单栓带消防软管卷盘铝合金消火栓箱，内设SN65型消火栓1只，QZ19直流水枪1只，JPS0.8-19消防软管卷盘一套，DN65、Φ25米长衬胶水龙带1条、消防按钮一个。</w:t>
      </w:r>
    </w:p>
    <w:p w14:paraId="71BD0E1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5）消火栓给水组成环网。动压超过0.5MPa的消火栓栓口均采用SNW65-III-H型减压稳压消火栓。</w:t>
      </w:r>
    </w:p>
    <w:p w14:paraId="4077B2C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（3）自动喷水灭火系统</w:t>
      </w:r>
    </w:p>
    <w:p w14:paraId="073CE1F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1）自动喷淋系统由消防泵房内的喷淋加压泵（一用一备）提供。喷淋泵的型号规格为：XBD9/60-SLW150-315(I)A（Q=40L/s，H=99m，N=90kW）。</w:t>
      </w:r>
    </w:p>
    <w:p w14:paraId="15D4BC92">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2）火灾危险级与延续时间不变。</w:t>
      </w:r>
    </w:p>
    <w:p w14:paraId="19E0CBF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3）该系统分为若干组报警阀，每组报警阀控制的喷头数均&lt;800个。</w:t>
      </w:r>
    </w:p>
    <w:p w14:paraId="6A162E0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4）报警阀设于报警阀间内。</w:t>
      </w:r>
    </w:p>
    <w:p w14:paraId="5F72D1B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安装在有吊顶场所的采用ZSTX-15/68型（带装饰板下垂型）标准玻璃球洒水喷头，喷头动作温度68℃；安装在无吊顶场所的采用ZSTZ-15/68型喷头，喷头动作温度68℃。按防火分区设置水流指示器，型号为ZSJZ型水流指示器，每只水流指示器前设信号阀。</w:t>
      </w:r>
    </w:p>
    <w:p w14:paraId="182B4B1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6）最不利点喷头压力按0.1MPa设计。</w:t>
      </w:r>
    </w:p>
    <w:p w14:paraId="1CE2722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6.2.3</w:t>
      </w:r>
      <w:r>
        <w:rPr>
          <w:rFonts w:hint="eastAsia" w:asciiTheme="minorEastAsia" w:hAnsiTheme="minorEastAsia" w:eastAsiaTheme="minorEastAsia" w:cstheme="minorEastAsia"/>
          <w:color w:val="auto"/>
          <w:sz w:val="24"/>
          <w:szCs w:val="24"/>
          <w:highlight w:val="none"/>
        </w:rPr>
        <w:t>管材及其他</w:t>
      </w:r>
    </w:p>
    <w:p w14:paraId="439CC83D">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（1）室内消火栓管25m标高以下，喷淋管4.5m标高以下采用内外热镀锌加厚钢管及配件（管道承压P=1.6MPa）。其余均采用普通内外热镀锌加厚钢管及配件（管道承压P=1.0MPa）。</w:t>
      </w:r>
    </w:p>
    <w:p w14:paraId="21A14D2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（2）≤DN50螺纹连接，&gt;DN50沟槽卡箍式连接，阀门配件压力与管材压力一致。</w:t>
      </w:r>
    </w:p>
    <w:p w14:paraId="0D031CF9">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6.2.4</w:t>
      </w:r>
      <w:r>
        <w:rPr>
          <w:rFonts w:hint="eastAsia" w:asciiTheme="minorEastAsia" w:hAnsiTheme="minorEastAsia" w:eastAsiaTheme="minorEastAsia" w:cstheme="minorEastAsia"/>
          <w:color w:val="auto"/>
          <w:sz w:val="24"/>
          <w:szCs w:val="24"/>
          <w:highlight w:val="none"/>
        </w:rPr>
        <w:t>阀门</w:t>
      </w:r>
    </w:p>
    <w:p w14:paraId="3A9DD91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（1）≤DN50采用铜质截止阀，＞DN50且≤DN100除注明外均采用对夹式软密封蝶阀，&gt;DN100采用蜗杆式蝶阀（阀门应设置带有指示启闭装置的阀门），法兰连接。</w:t>
      </w:r>
    </w:p>
    <w:p w14:paraId="5C293E7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部分喷淋系统阀门采用信号控制阀，具体详图纸。人防防护阀门采用阀芯为不锈钢或铜质的闸阀，所有消防阀门除信号阀外应使用能显示阀门启闭状况的阀门。报警阀前后的阀门均设有显示阀门开启状态的信号控制阀。作为防爆波用的闸阀，公称压力与其对应的管道压力一致，安装时闸阀近端距墙面端200mm。</w:t>
      </w:r>
    </w:p>
    <w:p w14:paraId="68405EB9">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（3）工程中采用的消防给水及消火栓系统的组件和设备等应为符合国家现行有关标准和准入制度要求的产品。</w:t>
      </w:r>
    </w:p>
    <w:p w14:paraId="14E04D5C">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3电气</w:t>
      </w:r>
      <w:r>
        <w:rPr>
          <w:rFonts w:hint="eastAsia" w:asciiTheme="minorEastAsia" w:hAnsiTheme="minorEastAsia" w:eastAsiaTheme="minorEastAsia" w:cstheme="minorEastAsia"/>
          <w:color w:val="auto"/>
          <w:sz w:val="24"/>
          <w:szCs w:val="24"/>
          <w:highlight w:val="none"/>
        </w:rPr>
        <w:t>设计</w:t>
      </w:r>
    </w:p>
    <w:p w14:paraId="1674711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6.3.1</w:t>
      </w:r>
      <w:r>
        <w:rPr>
          <w:rFonts w:hint="eastAsia" w:asciiTheme="minorEastAsia" w:hAnsiTheme="minorEastAsia" w:eastAsiaTheme="minorEastAsia" w:cstheme="minorEastAsia"/>
          <w:color w:val="auto"/>
          <w:sz w:val="24"/>
          <w:szCs w:val="24"/>
          <w:highlight w:val="none"/>
        </w:rPr>
        <w:t>消防强电</w:t>
      </w:r>
    </w:p>
    <w:p w14:paraId="67C370A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（1）消防设备线路采用耐火型电线电缆，穿钢管敷设。消防线路暗敷时应敷设在混凝土内且保护层厚度不小于30mm。明敷设时采用金属管或封闭式金属线槽，并采取防火保护措施。消防配电设备应设置明显标志。</w:t>
      </w:r>
    </w:p>
    <w:p w14:paraId="56A141EA">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（2）本工程在下列部位设置火灾应急照明：楼梯间、消防水泵房、配电房、疏散走道、人员密集场所等。疏散走道和安全出口设置疏散指示标志。</w:t>
      </w:r>
    </w:p>
    <w:p w14:paraId="65E53D3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建筑内疏散照明的地面最低水平照度应符合下列规定：疏散楼梯间、疏散楼梯间的前室或合用前室、避难走道或其前室、避难层、避难间、消防专用通道，不应低于10.0LX；对于疏散走道、人员密集场所，不应低于3.0LX；上述规定场所的其他场所外，不应低于1.0LX。配电室、消防水泵房、消防风机房、消防控制室及柴油发电机房等消防工作区域场所的作业面的最低照度不应低于正常照明的照度。</w:t>
      </w:r>
    </w:p>
    <w:p w14:paraId="19408882">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（4）本工程各场所的消防应急照明和疏散指示系统选择集中电源集中控制型系统，集中电源蓄电池的供电时间&gt;60分钟，其中的消防工作区域应满足停电后持续工作时间&gt;180分钟的要求，由柴油发电机保证。</w:t>
      </w:r>
    </w:p>
    <w:p w14:paraId="37D8457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（5）应急照明和疏散照明灯具应装玻璃罩或透明防火罩，且满足国家标准《消防应急照明和疏散指示系统》GB17945国家标准的要求。消防疏散指示标志应符合国家标准《消防安全标志》GB13495规定。</w:t>
      </w:r>
    </w:p>
    <w:p w14:paraId="64604737">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6.3.2</w:t>
      </w:r>
      <w:r>
        <w:rPr>
          <w:rFonts w:hint="eastAsia" w:asciiTheme="minorEastAsia" w:hAnsiTheme="minorEastAsia" w:eastAsiaTheme="minorEastAsia" w:cstheme="minorEastAsia"/>
          <w:color w:val="auto"/>
          <w:sz w:val="24"/>
          <w:szCs w:val="24"/>
          <w:highlight w:val="none"/>
        </w:rPr>
        <w:t>火灾自动报警及消防联动控制系统：</w:t>
      </w:r>
    </w:p>
    <w:p w14:paraId="7F7DAF8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）本工程按规范要求设计火灾自动报警控制系统。火灾自动报警系统的形式为集中报警系统。</w:t>
      </w:r>
    </w:p>
    <w:p w14:paraId="4928AB7A">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系统由以下几部分组成：火灾自动报警系统；消防联动控制系统；消防电源监视系统；消防应急照明和疏散指示系统控制装置；气体灭火控制系统；防火门控制及监视系统；消防专用电话系统；火灾警报和消防应急广播系统；电气火灾监控系统。</w:t>
      </w:r>
    </w:p>
    <w:p w14:paraId="54812E43">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）要求消控中心入口处设置明显的标志牌；隔墙的耐火极限不低于3h，楼板的耐火极限不低于2h，并与其他部位隔开和设置直通室外的安全出口。</w:t>
      </w:r>
    </w:p>
    <w:p w14:paraId="74922CBD">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消控中心内设置的消防设备应包括火灾报警控制器、消防联动控制器、消控控制室图形显示装置、消防专用电话主机、消防应急广播控制装置、消防应急照明和疏散指示系统控制装置、消防电源监视器、气体灭火控制盘、防火门控制器等设备，或具有相应功能的组合设备；</w:t>
      </w:r>
    </w:p>
    <w:p w14:paraId="4EDA787B">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B.消控中心报警主机应配置一备一用的CPU双处理单元，同时应与打印机、图文电脑连接。系统另应配备DC24V备用电源装置，容量及供电时间满足相关规定要求。消控中心内设有直接报警的外线电话；</w:t>
      </w:r>
    </w:p>
    <w:p w14:paraId="71A17E0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C.消防控制室内设置的消防控制室图形显示装置应能显示《火灾自动报警系统设计规范》GB50116-2013附录A规定的建筑物内设置的全部消防系统及相关设备的动态信息和本规范附录B规定的消防安全管理信息，并应为远程监控系统预留接口，同时应具有向远程监控系统传输本规范附录A和附录B规定的有关信息的功能；</w:t>
      </w:r>
    </w:p>
    <w:p w14:paraId="5E3827E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D.消控中心内设置的消防设备应为符合国家市场准入制度的产品。消控中心的设计、建设和运行应符合国家现行有关标准的规定；</w:t>
      </w:r>
    </w:p>
    <w:p w14:paraId="15007DD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E.火灾自动报警系统总线上应设置总结短路隔离器，每只总结短路隔离器保护的火灾探测器、手动火灾报警按钮和模块等消防设备的总数不应超过32点；总线穿越防火分区时，应在穿越处设置总结短路隔离器。</w:t>
      </w:r>
    </w:p>
    <w:p w14:paraId="5E47421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（4）控制和显示要求</w:t>
      </w:r>
    </w:p>
    <w:p w14:paraId="22836BE9">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A.基本要求：</w:t>
      </w:r>
    </w:p>
    <w:p w14:paraId="7632899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a.消控中心应能显示《消防控制室通用技术要求》GB25506-2010第4.1条规定的资料内容及附录B规定的其他相关信息；</w:t>
      </w:r>
    </w:p>
    <w:p w14:paraId="3E88419A">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b.消控中心应能用同一界面显示建（构）筑物周边消防车道、消防登高车操作场地、消防水源位置，以及相邻建筑的防火间距、建筑面积、建筑高度、使用性质等情况；</w:t>
      </w:r>
    </w:p>
    <w:p w14:paraId="1A4ECCA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c.消控中心应能显示消防系统及设备的名称、位置和《消防控制室通用技术要求》GB25506-2010第5.2~ 5.7规定的动态信息；</w:t>
      </w:r>
    </w:p>
    <w:p w14:paraId="40412B9B">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当有火灾报警信号、监管报警信号、反馈信号、屏蔽信号、故障信号输入时，应有相应状态的专用总指示，在总平面布局图中应显示输入信号所在的建（构）筑物的位置，在建筑平面图上应显示输入信号所在的位置和名称，并记录时间、信号类别和部位等信息；</w:t>
      </w:r>
    </w:p>
    <w:p w14:paraId="428E691A">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e.消控中心应在10s内显示输入的火灾报警信号和反馈信号的状态信息，100s内显示其他输入信号的状态信息；</w:t>
      </w:r>
    </w:p>
    <w:p w14:paraId="0B6F77DF">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f.消控中心应采用中文标注和中文界面，界面对角线长度不应小于430mm；</w:t>
      </w:r>
    </w:p>
    <w:p w14:paraId="2A9C89CA">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g.消控中心应能显示可燃气体探测报警系统、电气火灾监控系统的报警信息、故障信息和相关联动反馈信息；</w:t>
      </w:r>
    </w:p>
    <w:p w14:paraId="5EA50820">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h.消防控制室应有相应的竣工圈纸、各分系统控制逻辑关系说明、设备使用说明书、系统操作规程、应急预案、值班制度、维护保养制度及值班记录等文件资料；</w:t>
      </w:r>
    </w:p>
    <w:p w14:paraId="4EE409A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i.消防控制室内严禁穿过与消防设施无关的电气线路及管路。</w:t>
      </w:r>
    </w:p>
    <w:p w14:paraId="1C08D153">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B.火灾报警控制器</w:t>
      </w:r>
    </w:p>
    <w:p w14:paraId="6A774E9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a.火灾报警控制器应能显示火灾探测器、火灾显示盘、手动火灾报警按钮的正常工作状态、火灾报警状态、屏蔽状态及故障状态等相关信息；</w:t>
      </w:r>
    </w:p>
    <w:p w14:paraId="6CE005B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b.火灾报警控制器应能控制火灾声光警报器启动和停止。</w:t>
      </w:r>
    </w:p>
    <w:p w14:paraId="378B0FDD">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C.火灾自动报警系统：</w:t>
      </w:r>
    </w:p>
    <w:p w14:paraId="6A6E11C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a.本工程为集中报警系统，对大楼的火灾信号和消防设备进行监视及控制。</w:t>
      </w:r>
    </w:p>
    <w:p w14:paraId="74D54C7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消防模块安装在相应的控制设备附近或集中安装在弱电竖井的金属模块箱内，就地安装的消防模块应采取防火保护措施。各火灾探测器吸顶安装在楼板或顶棚下，0.5m范围内不应有遮挡物，到墙壁、梁边的水平距离不应小于0.5m，探测器到空调送风口边的水平距离不应小于1.5m，至多孔送风顶棚孔口的水平距离不应小于0.5m，与照明灯具的水平净距不小于0.2m。层号灯距顶0.3m，手动火灾报警按钮（含电话塞孔）距地1.5m，消防专用电话分机距地1.5m。</w:t>
      </w:r>
    </w:p>
    <w:p w14:paraId="2C6D196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D.消防联动控制：</w:t>
      </w:r>
    </w:p>
    <w:p w14:paraId="7E49EEC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a.消防联动控制器应能按设定的控制逻辑向各相关的受控设备发出联动控制信号，并接受相关设备的联动反馈信号；</w:t>
      </w:r>
    </w:p>
    <w:p w14:paraId="46048E8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b.各受控设备接口的特性参数应与消防联动控制器发出的联动控制信号相匹配。</w:t>
      </w:r>
    </w:p>
    <w:p w14:paraId="37BE5423">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c.消防水泵、防烟和排烟凤机的控制设备，除应采用联动控制方式外，还应在消防控制室设置手动直接控制装置。</w:t>
      </w:r>
    </w:p>
    <w:p w14:paraId="65F328BA">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d.需要火灾自动报警系统联动控制的消防设备，其联动触发信号应采用两个独立的报警触发装置报警信号的“与”逻辑组合。</w:t>
      </w:r>
    </w:p>
    <w:p w14:paraId="2EFA4F4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）对自动喷水灭火系统的控制和显示应符合下列要求：</w:t>
      </w:r>
    </w:p>
    <w:p w14:paraId="1E4F05EF">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联动控制方式，应由出水于管上设置的低压压力开关、高位消防水箱出水管上设置的流量开关或报警阀压力开关等信号作为触发信号，直接控制启动喷淋消防泵，联动控制不应受消防联动控制器处于自动或于动状态影响。应能显示喷淋泵电源的工作状态；</w:t>
      </w:r>
    </w:p>
    <w:p w14:paraId="3C2657C2">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应能显示喷淋泵（稳压或增压泵）的启、停状态和故障状态，并显示水流指示器、信号阀、报警阀、压力开关等设备的正常工作状态和动作状态、消防水箱（池）最低水位信息和管网最低压力报警信息。应能手动控制喷淋泵的启、停，并显示其手动启、停和自动启动的动作反馈信号。</w:t>
      </w:r>
    </w:p>
    <w:p w14:paraId="1B5668D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c.水流指示器、信号阀、压力开关、喷淋消防泵的启动和停止的功作信号，有压气体管道气压状态信号和快速排气阀入口前电动阀的动作信号应反馈至消防联动控制器。</w:t>
      </w:r>
    </w:p>
    <w:p w14:paraId="233A022B">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）对消火栓系统的控制和显示应符合下列要求：</w:t>
      </w:r>
    </w:p>
    <w:p w14:paraId="352C569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应由消火栓系统出水于管上设置的低压压力开关、高位消防水箱出水管上设置的流量开关或报警阀压力开关等信号作为触发信号，直接控制启动消火栓泵，联动控制不应受消防联动控制器处于自动或手动状态影响。当设置消火栓按钮时，消火栓按钮的功作信号应作为报警信号及启动消火栓泵的联动触发信号，由消防联动控制器联动控制消火栓泵的启功。</w:t>
      </w:r>
    </w:p>
    <w:p w14:paraId="240D061D">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应能显示消防水泵电源的工作状态；应能显示消防水泵（稳压或增压泵）的启、停状态和故障状态，并显示消火栓按钮的正常工作状态和动作状态及位置等信息、消防水箱（池）最低水位信息和管网最低压力报警信息；应能手动控制消防水泵启、停，并显示其动作反馈信号。</w:t>
      </w:r>
    </w:p>
    <w:p w14:paraId="5805229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）对气体灭火系统的控制和显示应符合下列要求：</w:t>
      </w:r>
    </w:p>
    <w:p w14:paraId="2BAAEF4B">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应能显示系统的手动、自动工作状态及故障状态。应能显示系统的驱动装置的正常工作状态和动作状态，并能显示防护区域中的防火门（窗）、防火阀、通风空调等设备的正常工作状态和动作状态。应能手动控制系统的启、停，并显示延时状态信号、紧急停止信号和管网压力信号。</w:t>
      </w:r>
    </w:p>
    <w:p w14:paraId="513DF899">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）对防烟排烟系统及通风空调系统的控制和显示应符合下列要求：</w:t>
      </w:r>
    </w:p>
    <w:p w14:paraId="7CD2CE6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应能显示防烟排烟系统风机电源的工作状态。应能显示防烟排烟系统的手动、自动工作状态及防烟排烟系统风机的正常工作状态和动作状态。应能控制防烟排烟系统及通风空调系统的风机和电动排烟防火阀、电控挡烟垂壁、电动防火阀、常闭送风口、排烟阀（口）、电动排烟窗的动作，并显示其反馈信号。</w:t>
      </w:r>
    </w:p>
    <w:p w14:paraId="0A0DB8FD">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）对防火门及防火卷帘系统的控制和显示应符合下列要求：</w:t>
      </w:r>
    </w:p>
    <w:p w14:paraId="002EC1B7">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消防控制室应能显示防火门控制器、防火卷帘控制器的工作状态和故障状态等动态信息。消防控制室应能显示防火卷帘、常开防火门、人员密集场所中因管理需要平时常闭的疏散门及具有信号反馈功能的防火门的工作状态。消防控制室应能关闭防火卷帘和常开防火门，并显示其反馈信号。</w:t>
      </w:r>
    </w:p>
    <w:p w14:paraId="71A7EE7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）对电梯的控制和显示应符合下列要求：</w:t>
      </w:r>
    </w:p>
    <w:p w14:paraId="329069BF">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应能控制所有电梯全部回降首层，非消防电梯应开门停用，消防电梯应开门待用，并显示反馈信号及消防电梯运行时所在楼层。消防控制室应能显示消防电梯的故障状态和停用状态。</w:t>
      </w:r>
    </w:p>
    <w:p w14:paraId="3354DF3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11</w:t>
      </w:r>
      <w:r>
        <w:rPr>
          <w:rFonts w:hint="eastAsia" w:asciiTheme="minorEastAsia" w:hAnsiTheme="minorEastAsia" w:eastAsiaTheme="minorEastAsia" w:cstheme="minorEastAsia"/>
          <w:color w:val="auto"/>
          <w:sz w:val="24"/>
          <w:szCs w:val="24"/>
          <w:highlight w:val="none"/>
        </w:rPr>
        <w:t>）对消防电话总机应符合下列要求：</w:t>
      </w:r>
    </w:p>
    <w:p w14:paraId="79C4319B">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应能与各消防电话分机通话，并具有插入通话功能；应能接收来自消防电话插孔的呼叫，并能通话；应有消防电话通话录音功能。应能接收来自消防电话插孔的呼叫，并能通话。应能显示消防电话的故障状态，并能将故障状态信息传输给消防控制室图形显示装置。消防专用电话网络应为独立的消防通信系统。</w:t>
      </w:r>
    </w:p>
    <w:p w14:paraId="4AAF9430">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）对火灾警报和消防应急广播系统装置应符合下列要求：</w:t>
      </w:r>
    </w:p>
    <w:p w14:paraId="5A32379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火灾自动报警系统应设置火灾声光警报器，并应在确认火灾后启动建筑内的所有火灾声光警报器及消防广播。同一建筑内设置多个火灾声警报器时，火灾自动报警系统应能同时启动和停止所有火灾声警报器工作。消防应急广播与普通广播或背景音乐广播合用时，应具有强制切入消防应急广播的功能。</w:t>
      </w:r>
    </w:p>
    <w:p w14:paraId="56F2C509">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B.每个报警区域内应均匀设置火灾警报器，其声压级不应小子60dB；在环境噪声大于60dB的场所，其声压级应高于背景曝声15dB。</w:t>
      </w:r>
    </w:p>
    <w:p w14:paraId="134E5A5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C.应能显示处于应急广播状态的广播分区、预设广播信息；应能分别通过手动和按照预设控制逻辑自动控制选择广播分区、启动或停止应急广播，并在扬声器进行应急广播时自动对广播内容进行录音；应能显示应急广播的故障状态，并能将故障状态信息传输给消防控制室图形显示装置。</w:t>
      </w:r>
    </w:p>
    <w:p w14:paraId="763A1379">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）对消防应急照明和疏散指示系统控制装置应符合下列要求：</w:t>
      </w:r>
    </w:p>
    <w:p w14:paraId="3A2247F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应能手动控制集中电源型消防应急照明和疏散指示系统的主电工作状态和应急工作状态的转换。应能分别通过手动和自动控制集中电源型消防应急照明和疏散指示系统和集中控制型消防应急照明和疏散指示系统从主电工作状态切换到应急工作状态。受消防联动控制器控制的系统应能将系统的故障状态和应急工作状态信息传输给消防控制室图形显示装置。</w:t>
      </w:r>
    </w:p>
    <w:p w14:paraId="7D697930">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B.集中电源集中控制型消防应急照明和疏散指示系统，应由消防联动控制器联动消防急照明配电箱实现。</w:t>
      </w:r>
    </w:p>
    <w:p w14:paraId="16F7789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4）对消防电源监控器应符合下列要求：</w:t>
      </w:r>
    </w:p>
    <w:p w14:paraId="12F6E82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应能显示消防用电设备的供电电源和备用电源的工作状态和欠压报警信息。应能显示消防用电设备的供电电源和备用电源的工作状态和故障报警信息传输给消防控制室图形显示装置。</w:t>
      </w:r>
    </w:p>
    <w:p w14:paraId="45607E9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rPr>
        <w:t>）每个报警区域内的模块宜相对集中设置在本报警区域内的金属模块箱中。</w:t>
      </w:r>
    </w:p>
    <w:p w14:paraId="5FF00262">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rPr>
        <w:t>）其他</w:t>
      </w:r>
    </w:p>
    <w:p w14:paraId="2ED91D2B">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A.任一台火灾报警控制器所连接的火灾探测器、自动火灾报警按钮和模块等设备总数和地址总数，均不应超过3200点，其中每一总线回路连接设备的总数不宜超过200 点，且应留有不少于额定容量10%的余量；任一台消防联动控制器地址总数或火灾报警控制器（联动型）所控制的各类模块总数不应超过1600点，每一联动总线回路连接设备的总数不宜超过100点，且应留有不少于额定容量10% 的余量。</w:t>
      </w:r>
    </w:p>
    <w:p w14:paraId="5542B99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B.系统的成套设备，包括火灾自动控制器、消防联动控制台、应急广播设备、中央电脑、液晶显示器、打印机、电梯运行监控盘、气体灭火控制盘及消防专用电话总机、对讲录音电话、UPS电源设备等均由承包商成套供货，并负责安装、调试。</w:t>
      </w:r>
    </w:p>
    <w:p w14:paraId="5D41E1B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C.消控中心图形显示装置应能在接收到火灾报警信号或联动信号后10s内将相应信息按规定的通讯协议格式传送给监控中心。</w:t>
      </w:r>
    </w:p>
    <w:p w14:paraId="3543C23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D.消控中心图形显示装置应能在接收到建筑消防设施运行状态信息后100s内将相应信息按规定的通讯协议格式传给监控中心。</w:t>
      </w:r>
    </w:p>
    <w:p w14:paraId="35EB68B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E.当具有自动向监控中心传输消防安全管理信息功能时，消控中心图形显示装置应能在发出传输信息指令后100s内将相应信息按规定的通讯协议格式传送给监控中心。</w:t>
      </w:r>
    </w:p>
    <w:p w14:paraId="6941081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F.消控中心图形显示装置应能接收监控中心的查询指令并按规定的通讯协议格式将《消控中心通用技术要求》GB25506-2010附录A、附录B规定的信息传送给监控中心。</w:t>
      </w:r>
    </w:p>
    <w:p w14:paraId="3179851F">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G.消控中心图形显示装置应有信息传输指示灯，在处理和传输信息时，该指示灯应闪亮，在得到监控中心正确接收确认后，该指示灯应常亮并保持直至该状态复位。当信息传送失败时应有声、光指示。</w:t>
      </w:r>
    </w:p>
    <w:p w14:paraId="4CA96DB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H.火灾报警信息应优先于其他信息传输。</w:t>
      </w:r>
    </w:p>
    <w:p w14:paraId="2BB39260">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I.信息传输不应受保护区域内消防系统及设备任何操作的影响。</w:t>
      </w:r>
    </w:p>
    <w:p w14:paraId="286CA2B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J.在施工过程中应按国家有关规程.规范进行，若发现与实际不符处，应及时通知有关人员共同协商解决，最后按国家有关规程、规范进行验收。</w:t>
      </w:r>
    </w:p>
    <w:p w14:paraId="3DC503A7">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K.电气装置安装应按《电气装置安装工程施工及验收规范》和《建筑电气工程施工质量验收规范》进行。施工安装方法可参照国标图集《火灾报警及消防控制》04X501有关页次。</w:t>
      </w:r>
    </w:p>
    <w:p w14:paraId="7F2F8455">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L.消防联动控制设备和要求应符合《消防联动控制系统》GB16806-2006的规定。</w:t>
      </w:r>
    </w:p>
    <w:p w14:paraId="558ABFF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M.配电间及各防火分区墙上的电气预留洞，施工安装完毕后应用防火堵料封堵，管道穿过隔墙、楼板时应采用不燃烧材料将其周围的缝隙填塞密实。凡进入建筑物的电缆预埋管及预留管道在施工完成后应用沥青麻丝填实，油膏封口以防水。</w:t>
      </w:r>
    </w:p>
    <w:p w14:paraId="203ED53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6.3.3</w:t>
      </w:r>
      <w:r>
        <w:rPr>
          <w:rFonts w:hint="eastAsia" w:asciiTheme="minorEastAsia" w:hAnsiTheme="minorEastAsia" w:eastAsiaTheme="minorEastAsia" w:cstheme="minorEastAsia"/>
          <w:color w:val="auto"/>
          <w:sz w:val="24"/>
          <w:szCs w:val="24"/>
          <w:highlight w:val="none"/>
        </w:rPr>
        <w:t>本工程按规范要求设置电气火灾监控系统。</w:t>
      </w:r>
    </w:p>
    <w:p w14:paraId="4605F22E">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电气火灾监控系统应具有下列功能：</w:t>
      </w:r>
    </w:p>
    <w:p w14:paraId="31301660">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1）探测剩余电流、温度、过电流等信号，发出声光信号报警，准确报出故障线路地址，监视故障点的变化。</w:t>
      </w:r>
    </w:p>
    <w:p w14:paraId="52A5890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2）储存各种故障和操作试验信号、信号储存时间不应少于12个月。</w:t>
      </w:r>
    </w:p>
    <w:p w14:paraId="2C5B6529">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3）显示系统电源状态。</w:t>
      </w:r>
    </w:p>
    <w:p w14:paraId="4A8A9D80">
      <w:pPr>
        <w:pageBreakBefore w:val="0"/>
        <w:kinsoku/>
        <w:wordWrap/>
        <w:overflowPunct/>
        <w:topLinePunct w:val="0"/>
        <w:bidi w:val="0"/>
        <w:spacing w:line="400" w:lineRule="exact"/>
        <w:textAlignment w:val="auto"/>
        <w:outlineLvl w:val="3"/>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.5</w:t>
      </w:r>
      <w:r>
        <w:rPr>
          <w:rFonts w:hint="eastAsia" w:asciiTheme="minorEastAsia" w:hAnsiTheme="minorEastAsia" w:eastAsiaTheme="minorEastAsia" w:cstheme="minorEastAsia"/>
          <w:color w:val="auto"/>
          <w:sz w:val="24"/>
          <w:szCs w:val="24"/>
          <w:highlight w:val="none"/>
          <w:lang w:val="en-US" w:eastAsia="zh-CN"/>
        </w:rPr>
        <w:t>暖通</w:t>
      </w:r>
      <w:r>
        <w:rPr>
          <w:rFonts w:hint="eastAsia" w:asciiTheme="minorEastAsia" w:hAnsiTheme="minorEastAsia" w:eastAsiaTheme="minorEastAsia" w:cstheme="minorEastAsia"/>
          <w:color w:val="auto"/>
          <w:sz w:val="24"/>
          <w:szCs w:val="24"/>
          <w:highlight w:val="none"/>
        </w:rPr>
        <w:t>设计</w:t>
      </w:r>
    </w:p>
    <w:p w14:paraId="2230EED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6.5.</w:t>
      </w:r>
      <w:r>
        <w:rPr>
          <w:rFonts w:hint="eastAsia" w:asciiTheme="minorEastAsia" w:hAnsiTheme="minorEastAsia" w:eastAsiaTheme="minorEastAsia" w:cstheme="minorEastAsia"/>
          <w:color w:val="auto"/>
          <w:sz w:val="24"/>
          <w:szCs w:val="24"/>
          <w:highlight w:val="none"/>
        </w:rPr>
        <w:t>1、防排烟系统</w:t>
      </w:r>
    </w:p>
    <w:p w14:paraId="5BBF115D">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
        </w:rPr>
        <w:t>根据改造区域进行消防改造，消防排烟机更换。</w:t>
      </w:r>
    </w:p>
    <w:p w14:paraId="440EECCD">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
        </w:rPr>
        <w:t>1</w:t>
      </w:r>
      <w:r>
        <w:rPr>
          <w:rFonts w:hint="eastAsia" w:asciiTheme="minorEastAsia" w:hAnsiTheme="minorEastAsia" w:eastAsiaTheme="minorEastAsia" w:cstheme="minorEastAsia"/>
          <w:color w:val="auto"/>
          <w:sz w:val="24"/>
          <w:szCs w:val="24"/>
          <w:highlight w:val="none"/>
        </w:rPr>
        <w:t>）排烟系统</w:t>
      </w:r>
    </w:p>
    <w:p w14:paraId="61DC2E30">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1）建筑内长度大于20m的疏散走道设置排烟设施。</w:t>
      </w:r>
    </w:p>
    <w:p w14:paraId="29896473">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2）公共建筑内建筑面积大于100m²且经常有人停留的地上房间、建筑面积大于300m²且可燃物较多的地上房间设置排烟设施。</w:t>
      </w:r>
    </w:p>
    <w:p w14:paraId="3826F7EB">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3）地上建筑内的无窗房间，当总建筑面积大于200m²或一个房间建筑面积大于50m²，且经常有人停留或可燃物较多时，应设置排烟设施。</w:t>
      </w:r>
    </w:p>
    <w:p w14:paraId="7B9AEC0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4）采用自然排烟系统的场所设置自然排烟窗（口），不满足自然排烟条件的设置机械排烟系统，排烟量均按《建筑防烟排烟系统技术标准》（GB 51251-2017）设置。</w:t>
      </w:r>
    </w:p>
    <w:p w14:paraId="072A21E0">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5）排烟口按防烟分区设置，且防烟分区内的排烟口距最远点的水平距离不超过30m。</w:t>
      </w:r>
    </w:p>
    <w:p w14:paraId="1F4848FC">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6）当设置机械排烟系统时，任一层建筑面积大于3000m²的公共建筑，长度&gt;60m的走道、靠外墙或贯通至建筑屋顶的中庭均在外墙或屋顶设固定窗。</w:t>
      </w:r>
    </w:p>
    <w:p w14:paraId="29BB0D6F">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7）防排烟系统风管应满足GB51251-2017 相应规范的要求，且需提供国家级防火检测机构出具的按《通风管道耐火实验方法》（GB/T17428-2009）的检测报告（包含隔热性及完整性）。</w:t>
      </w:r>
    </w:p>
    <w:p w14:paraId="67E569A4">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6.5.</w:t>
      </w:r>
      <w:r>
        <w:rPr>
          <w:rFonts w:hint="eastAsia" w:asciiTheme="minorEastAsia" w:hAnsiTheme="minorEastAsia" w:eastAsiaTheme="minorEastAsia" w:cstheme="minorEastAsia"/>
          <w:color w:val="auto"/>
          <w:sz w:val="24"/>
          <w:szCs w:val="24"/>
          <w:highlight w:val="none"/>
        </w:rPr>
        <w:t>2、空调通风系统防火措施</w:t>
      </w:r>
    </w:p>
    <w:p w14:paraId="56CB3E0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通风、空气调节系统的风管在下列部位应设置公称动作温度为70℃的防火阀：A.穿越防火分区处；B.穿越通风、空气调节机房的房间隔墙和楼板处；C.穿越重要或火灾危险性大的场所的房间隔墙和楼板处；D.穿越防火分隔处的变形缝两侧；E.竖向风管与每层水平风管交接处的水平管段上。</w:t>
      </w:r>
    </w:p>
    <w:p w14:paraId="50CCF80A">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2）排烟管道下列部位应设置排烟防火阀：A.垂直风管与每层水平风管交接处的水平管段上；B.一个排烟系统负担多个防烟分区的排烟支管上；C.排烟风机入口处；D.穿越防火分区处。</w:t>
      </w:r>
    </w:p>
    <w:p w14:paraId="6B47C2A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3）当风管穿过需要封闭的防火、防爆的墙体或楼板时，必须设置厚度不小于1.6mm的钢制防护套管；风管与防护套管之间应采用不燃柔性材料封堵严密。</w:t>
      </w:r>
    </w:p>
    <w:p w14:paraId="59F9E6D6">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防烟、排烟、供暖、通风和空气调节系统中的管道及建筑内的其他管道，在穿越防火隔墙、楼板和防火墙处的孔隙应采用防火封堵材料封堵。风管穿过防火隔墙、楼板和防火墙时，穿越处风管上的防火阀、排烟防火阀两侧各2.0m范围内的风管应采用耐火风管或风管外壁应采取防火保护措施，且耐火极限不应低于该防火分隔体的耐火极限。</w:t>
      </w:r>
    </w:p>
    <w:p w14:paraId="6CC60F98">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5）所有保温及其辅助材料必须采用不燃或难燃型产品，且须采用消防部门检测合格的生产厂家生产的保温材料。</w:t>
      </w:r>
    </w:p>
    <w:p w14:paraId="4C7BF621">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6）排烟管道应与可燃物保持不小于150mm的距离.当吊顶内有可燃物时，排烟管应设隔热层，隔热层应采用40mm厚的岩棉不燃烧材料制作。</w:t>
      </w:r>
    </w:p>
    <w:p w14:paraId="46EE961B">
      <w:pPr>
        <w:pageBreakBefore w:val="0"/>
        <w:kinsoku/>
        <w:wordWrap/>
        <w:overflowPunct/>
        <w:topLinePunct w:val="0"/>
        <w:bidi w:val="0"/>
        <w:spacing w:line="400" w:lineRule="exact"/>
        <w:ind w:firstLine="491" w:firstLineChars="205"/>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7）其他防排烟未尽事宜，均严格参照《建筑防排烟系统技术标准》（GB51251-2017）。</w:t>
      </w:r>
    </w:p>
    <w:p w14:paraId="6DD8CC40">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6.5.3、</w:t>
      </w:r>
      <w:r>
        <w:rPr>
          <w:rFonts w:hint="eastAsia" w:asciiTheme="minorEastAsia" w:hAnsiTheme="minorEastAsia" w:eastAsiaTheme="minorEastAsia" w:cstheme="minorEastAsia"/>
          <w:color w:val="auto"/>
          <w:sz w:val="24"/>
          <w:szCs w:val="24"/>
          <w:highlight w:val="none"/>
        </w:rPr>
        <w:t>自动控制</w:t>
      </w:r>
    </w:p>
    <w:p w14:paraId="180FCA72">
      <w:pPr>
        <w:pageBreakBefore w:val="0"/>
        <w:kinsoku/>
        <w:wordWrap/>
        <w:overflowPunct/>
        <w:topLinePunct w:val="0"/>
        <w:bidi w:val="0"/>
        <w:spacing w:line="400" w:lineRule="exact"/>
        <w:ind w:firstLine="480" w:firstLineChars="200"/>
        <w:textAlignment w:val="auto"/>
        <w:rPr>
          <w:rFonts w:hint="eastAsia" w:asciiTheme="minorEastAsia" w:hAnsiTheme="minorEastAsia" w:eastAsiaTheme="minorEastAsia" w:cstheme="minorEastAsia"/>
          <w:color w:val="auto"/>
          <w:sz w:val="24"/>
          <w:szCs w:val="24"/>
          <w:highlight w:val="none"/>
        </w:rPr>
        <w:sectPr>
          <w:footerReference r:id="rId6" w:type="default"/>
          <w:pgSz w:w="11906" w:h="16838"/>
          <w:pgMar w:top="1814" w:right="1587" w:bottom="1701" w:left="1587" w:header="851" w:footer="992" w:gutter="0"/>
          <w:pgBorders>
            <w:top w:val="none" w:sz="0" w:space="0"/>
            <w:left w:val="none" w:sz="0" w:space="0"/>
            <w:bottom w:val="none" w:sz="0" w:space="0"/>
            <w:right w:val="none" w:sz="0" w:space="0"/>
          </w:pgBorders>
          <w:cols w:space="720" w:num="1"/>
          <w:rtlGutter w:val="0"/>
          <w:docGrid w:type="linesAndChars" w:linePitch="317" w:charSpace="0"/>
        </w:sectPr>
      </w:pPr>
      <w:r>
        <w:rPr>
          <w:rFonts w:hint="eastAsia" w:asciiTheme="minorEastAsia" w:hAnsiTheme="minorEastAsia" w:eastAsiaTheme="minorEastAsia" w:cstheme="minorEastAsia"/>
          <w:color w:val="auto"/>
          <w:sz w:val="24"/>
          <w:szCs w:val="24"/>
          <w:highlight w:val="none"/>
        </w:rPr>
        <w:t>大楼防排烟系统采用就地手动控制和消控中心遥控相结合方式，排烟阀、前室加压送风口以及空调、通风系统总管上的防火阀均与系统风机联锁。通风系统风机开关均能就地控制，也可消控中心遥控。</w:t>
      </w:r>
    </w:p>
    <w:p w14:paraId="18B387D6">
      <w:pPr>
        <w:pStyle w:val="3"/>
        <w:pageBreakBefore w:val="0"/>
        <w:numPr>
          <w:ilvl w:val="0"/>
          <w:numId w:val="3"/>
        </w:numPr>
        <w:kinsoku/>
        <w:wordWrap/>
        <w:overflowPunct/>
        <w:topLinePunct w:val="0"/>
        <w:bidi w:val="0"/>
        <w:spacing w:line="400" w:lineRule="exact"/>
        <w:ind w:left="0" w:leftChars="0" w:firstLine="0" w:firstLineChars="0"/>
        <w:textAlignment w:val="auto"/>
        <w:rPr>
          <w:rFonts w:hint="eastAsia"/>
          <w:sz w:val="24"/>
          <w:szCs w:val="24"/>
          <w:highlight w:val="none"/>
          <w:lang w:val="en-US" w:eastAsia="zh-CN"/>
        </w:rPr>
      </w:pPr>
      <w:r>
        <w:rPr>
          <w:rFonts w:hint="eastAsia"/>
          <w:sz w:val="24"/>
          <w:szCs w:val="24"/>
          <w:highlight w:val="none"/>
          <w:lang w:val="en-US" w:eastAsia="zh-CN"/>
        </w:rPr>
        <w:t>信息化专项设计内容及要求</w:t>
      </w:r>
    </w:p>
    <w:p w14:paraId="4840F51C">
      <w:pPr>
        <w:pageBreakBefore w:val="0"/>
        <w:numPr>
          <w:ilvl w:val="0"/>
          <w:numId w:val="0"/>
        </w:numPr>
        <w:kinsoku/>
        <w:wordWrap/>
        <w:overflowPunct/>
        <w:topLinePunct w:val="0"/>
        <w:bidi w:val="0"/>
        <w:spacing w:line="400" w:lineRule="exact"/>
        <w:textAlignment w:val="auto"/>
        <w:rPr>
          <w:rFonts w:hint="default" w:asciiTheme="minorEastAsia" w:hAnsiTheme="minorEastAsia" w:eastAsiaTheme="minorEastAsia" w:cstheme="minorEastAsia"/>
          <w:b/>
          <w:bCs/>
          <w:sz w:val="24"/>
          <w:szCs w:val="24"/>
          <w:highlight w:val="none"/>
          <w:lang w:val="en-US" w:eastAsia="zh-CN"/>
        </w:rPr>
      </w:pPr>
      <w:r>
        <w:rPr>
          <w:rFonts w:hint="eastAsia" w:asciiTheme="minorEastAsia" w:hAnsiTheme="minorEastAsia" w:cstheme="minorEastAsia"/>
          <w:b/>
          <w:bCs/>
          <w:sz w:val="24"/>
          <w:szCs w:val="24"/>
          <w:highlight w:val="none"/>
          <w:lang w:val="en-US" w:eastAsia="zh-CN"/>
        </w:rPr>
        <w:t>（一）设计内容</w:t>
      </w:r>
    </w:p>
    <w:p w14:paraId="64CB779B">
      <w:pPr>
        <w:pStyle w:val="8"/>
        <w:spacing w:before="120" w:after="120"/>
        <w:rPr>
          <w:rFonts w:hint="eastAsia" w:eastAsia="宋体" w:cs="宋体"/>
          <w:highlight w:val="none"/>
          <w:lang w:val="en-US" w:eastAsia="zh-CN"/>
        </w:rPr>
      </w:pPr>
      <w:r>
        <w:rPr>
          <w:rFonts w:hint="eastAsia" w:eastAsia="宋体" w:cs="宋体"/>
          <w:highlight w:val="none"/>
          <w:lang w:val="en-US" w:eastAsia="zh-CN"/>
        </w:rPr>
        <w:t>信息化专项设计内容基于一期建设内容进一步扩展数据模态、数据范围，形成全面的高质量多模态大数据中心，建设临床多模态大数据融合平台、精细化运营管理，实现数据的深度共享、分析与应用，从而全面提高儿童医学领域的科研、诊疗及服务水平。具体包括：</w:t>
      </w:r>
    </w:p>
    <w:p w14:paraId="085F8606">
      <w:pPr>
        <w:pStyle w:val="8"/>
        <w:spacing w:before="120" w:after="120"/>
        <w:rPr>
          <w:rFonts w:hint="eastAsia" w:eastAsia="宋体" w:cs="宋体"/>
          <w:highlight w:val="none"/>
          <w:lang w:val="en-US" w:eastAsia="zh-CN"/>
        </w:rPr>
      </w:pPr>
      <w:r>
        <w:rPr>
          <w:rFonts w:hint="eastAsia" w:eastAsia="宋体" w:cs="宋体"/>
          <w:highlight w:val="none"/>
          <w:lang w:val="en-US" w:eastAsia="zh-CN"/>
        </w:rPr>
        <w:t>1）临床多模态大数据融合平台</w:t>
      </w:r>
    </w:p>
    <w:p w14:paraId="403FA102">
      <w:pPr>
        <w:pStyle w:val="8"/>
        <w:spacing w:before="120" w:after="120"/>
        <w:rPr>
          <w:rFonts w:cstheme="minorBidi"/>
          <w:szCs w:val="22"/>
          <w:highlight w:val="none"/>
        </w:rPr>
      </w:pPr>
      <w:r>
        <w:rPr>
          <w:rFonts w:hint="eastAsia"/>
          <w:highlight w:val="none"/>
        </w:rPr>
        <w:t>在一期基础上，进一步扩展临床多模态数据的采集和治理，涵盖文本、影像、病理、组学、图片、文件、音频、视频以及时序数据等多种类型。通过应用AI和大模型等先进技术，对这些数据进行深入的解析和处理，并实施严格的医学层面质控。</w:t>
      </w:r>
      <w:r>
        <w:rPr>
          <w:rFonts w:ascii="宋体" w:hAnsi="宋体" w:cs="宋体"/>
          <w:szCs w:val="24"/>
          <w:highlight w:val="none"/>
        </w:rPr>
        <w:t>针对医院重点科室与疾病，基于多模态大数据平台所采集与整合的专病数据资源，进一步根据疾病特征、治疗方案特点等进行扩展和衍生，形成能够满足临床需求的更精细化、颗粒度更细的病专多模态专病数据库，为临床诊疗、科室管理、临床科研等提供数据支撑，可建设</w:t>
      </w:r>
      <w:r>
        <w:rPr>
          <w:rFonts w:hint="eastAsia" w:ascii="宋体" w:hAnsi="宋体" w:cs="宋体"/>
          <w:szCs w:val="24"/>
          <w:highlight w:val="none"/>
        </w:rPr>
        <w:t>儿童疾病的专病库，如</w:t>
      </w:r>
      <w:r>
        <w:rPr>
          <w:rFonts w:ascii="宋体" w:hAnsi="宋体" w:cs="宋体"/>
          <w:szCs w:val="24"/>
          <w:highlight w:val="none"/>
        </w:rPr>
        <w:t>儿童矮小症、肥胖症、甲状腺疾病、肾上腺疾病、脑瘫、哮喘气管炎、小儿腹泻病、急慢性胃炎、消化性溃疡、儿童白血病、出血性疾病等疾病的专病数据库</w:t>
      </w:r>
      <w:r>
        <w:rPr>
          <w:rFonts w:hint="eastAsia" w:ascii="宋体" w:hAnsi="宋体" w:cs="宋体"/>
          <w:szCs w:val="24"/>
          <w:highlight w:val="none"/>
        </w:rPr>
        <w:t>具体可以根据科室确定儿童疾病</w:t>
      </w:r>
      <w:r>
        <w:rPr>
          <w:rFonts w:ascii="宋体" w:hAnsi="宋体" w:cs="宋体"/>
          <w:szCs w:val="24"/>
          <w:highlight w:val="none"/>
        </w:rPr>
        <w:t>。</w:t>
      </w:r>
      <w:r>
        <w:rPr>
          <w:rFonts w:cstheme="minorBidi"/>
          <w:szCs w:val="22"/>
          <w:highlight w:val="none"/>
        </w:rPr>
        <w:t>为了确保数据的质量和安全，专病库采用了严格的数据质量控制措施和安全技术。</w:t>
      </w:r>
    </w:p>
    <w:p w14:paraId="17AD7408">
      <w:pPr>
        <w:pStyle w:val="8"/>
        <w:spacing w:before="120" w:after="120"/>
        <w:rPr>
          <w:rFonts w:eastAsia="宋体" w:cs="宋体"/>
          <w:highlight w:val="none"/>
        </w:rPr>
      </w:pPr>
      <w:r>
        <w:rPr>
          <w:rFonts w:hint="eastAsia" w:eastAsia="宋体" w:cstheme="minorBidi"/>
          <w:szCs w:val="22"/>
          <w:highlight w:val="none"/>
          <w:lang w:val="en-US" w:eastAsia="zh-CN"/>
        </w:rPr>
        <w:t>2）</w:t>
      </w:r>
      <w:r>
        <w:rPr>
          <w:rFonts w:hint="eastAsia" w:eastAsia="宋体" w:cs="宋体"/>
          <w:highlight w:val="none"/>
        </w:rPr>
        <w:t>精细化运营管理</w:t>
      </w:r>
    </w:p>
    <w:p w14:paraId="740C2CDC">
      <w:pPr>
        <w:pStyle w:val="8"/>
        <w:spacing w:before="120" w:after="120"/>
        <w:rPr>
          <w:rFonts w:hint="eastAsia"/>
          <w:highlight w:val="none"/>
          <w:lang w:eastAsia="zh-CN"/>
        </w:rPr>
      </w:pPr>
      <w:r>
        <w:rPr>
          <w:rFonts w:hint="eastAsia"/>
          <w:highlight w:val="none"/>
        </w:rPr>
        <w:t>基于多模态大数据中心，进一步采集医院人、财、物和后勤等运营相关数据，通过增加数据校验标准和质控方法，可以显著提高医院运营相关数据的质量，为决策提供可靠的依据。可将海量的运营数据按照不同的主题、维度分类管理和分析，辅助提升医院管理运营效率，实现医院运营精细化管理。</w:t>
      </w:r>
      <w:r>
        <w:rPr>
          <w:rFonts w:hint="eastAsia"/>
          <w:highlight w:val="none"/>
          <w:lang w:val="en-US" w:eastAsia="zh-CN"/>
        </w:rPr>
        <w:t>构建</w:t>
      </w:r>
      <w:r>
        <w:rPr>
          <w:rFonts w:hint="eastAsia"/>
          <w:highlight w:val="none"/>
        </w:rPr>
        <w:t>医院内控管理系统</w:t>
      </w:r>
      <w:r>
        <w:rPr>
          <w:rFonts w:hint="eastAsia"/>
          <w:highlight w:val="none"/>
          <w:lang w:eastAsia="zh-CN"/>
        </w:rPr>
        <w:t>，包含预算管理、绩效奖金管理、全成本管理、采购管理、合同管理、项目管理、差旅报销、票据核验管理等业务管理系统，满足医院内控管理需求。</w:t>
      </w:r>
      <w:r>
        <w:rPr>
          <w:rFonts w:hint="eastAsia"/>
          <w:highlight w:val="none"/>
          <w:lang w:val="en-US" w:eastAsia="zh-CN"/>
        </w:rPr>
        <w:t>构建</w:t>
      </w:r>
      <w:r>
        <w:rPr>
          <w:rFonts w:hint="eastAsia"/>
          <w:highlight w:val="none"/>
          <w:lang w:eastAsia="zh-CN"/>
        </w:rPr>
        <w:t>医保效能分析管理系统，包含医保稽核管理系统、疾病诊断相关分组系统（DRGs）、按病种付费控费系统等，实现医保规则智能提醒、DRGs分组预测、医保费用管理等。连接医院内部各种信息系统，实现评价指标数据采集；根据公立医院绩效考核指标、医院运营相关质量指标、临床质量指标、医疗服务指标、专科运营指标等设置指标管理模块；构建评价分析体系，对每个评价指标进行深度分析，通过数据挖掘技术（如关联规则挖掘、聚类分析等）找出指标之间的内在关系。</w:t>
      </w:r>
    </w:p>
    <w:p w14:paraId="180AA40F">
      <w:pPr>
        <w:pStyle w:val="8"/>
        <w:spacing w:before="120" w:after="120"/>
        <w:rPr>
          <w:rFonts w:eastAsia="宋体" w:cs="宋体"/>
          <w:highlight w:val="none"/>
        </w:rPr>
      </w:pPr>
      <w:r>
        <w:rPr>
          <w:rFonts w:hint="eastAsia"/>
          <w:highlight w:val="none"/>
          <w:lang w:val="en-US" w:eastAsia="zh-CN"/>
        </w:rPr>
        <w:t>3）</w:t>
      </w:r>
      <w:r>
        <w:rPr>
          <w:rFonts w:hint="eastAsia" w:eastAsia="宋体" w:cs="宋体"/>
          <w:highlight w:val="none"/>
        </w:rPr>
        <w:t>基础设施建设</w:t>
      </w:r>
    </w:p>
    <w:p w14:paraId="76125766">
      <w:pPr>
        <w:pStyle w:val="8"/>
        <w:spacing w:before="120" w:after="120"/>
        <w:rPr>
          <w:rFonts w:hint="eastAsia"/>
          <w:highlight w:val="none"/>
        </w:rPr>
      </w:pPr>
      <w:r>
        <w:rPr>
          <w:rFonts w:hint="eastAsia"/>
          <w:highlight w:val="none"/>
        </w:rPr>
        <w:t>为贯彻落实国家、省委及省政府的相关文件指导精神，严格遵循国家电子政务网络应用规范及机关单位关于信息技术应用创新的安全可控规划、标准与要求，本项目在充分利旧医院现有的基础设施资源情况下，选用国产化的服务器设备、存储设备，以及配套的国产操作系统、数据库、中间件和虚拟化平台，以确保</w:t>
      </w:r>
      <w:r>
        <w:rPr>
          <w:rFonts w:hint="eastAsia" w:cs="宋体"/>
          <w:highlight w:val="none"/>
        </w:rPr>
        <w:t>临床多模态大数据融合平台和精细化运营管理等平台运行连续性与稳定性</w:t>
      </w:r>
      <w:r>
        <w:rPr>
          <w:rFonts w:hint="eastAsia"/>
          <w:highlight w:val="none"/>
        </w:rPr>
        <w:t>。</w:t>
      </w:r>
    </w:p>
    <w:p w14:paraId="55A78680">
      <w:pPr>
        <w:pageBreakBefore w:val="0"/>
        <w:numPr>
          <w:ilvl w:val="0"/>
          <w:numId w:val="0"/>
        </w:numPr>
        <w:kinsoku/>
        <w:wordWrap/>
        <w:overflowPunct/>
        <w:topLinePunct w:val="0"/>
        <w:bidi w:val="0"/>
        <w:spacing w:line="240" w:lineRule="auto"/>
        <w:textAlignment w:val="auto"/>
        <w:rPr>
          <w:rFonts w:hint="default" w:asciiTheme="minorEastAsia" w:hAnsiTheme="minorEastAsia" w:eastAsiaTheme="minorEastAsia" w:cstheme="minorEastAsia"/>
          <w:b/>
          <w:bCs/>
          <w:sz w:val="24"/>
          <w:szCs w:val="24"/>
          <w:highlight w:val="none"/>
          <w:lang w:val="en-US" w:eastAsia="zh-CN"/>
        </w:rPr>
      </w:pPr>
      <w:r>
        <w:rPr>
          <w:rFonts w:hint="eastAsia" w:asciiTheme="minorEastAsia" w:hAnsiTheme="minorEastAsia" w:cstheme="minorEastAsia"/>
          <w:b/>
          <w:bCs/>
          <w:sz w:val="24"/>
          <w:szCs w:val="24"/>
          <w:highlight w:val="none"/>
          <w:lang w:val="en-US" w:eastAsia="zh-CN"/>
        </w:rPr>
        <w:t>（二）</w:t>
      </w:r>
      <w:r>
        <w:rPr>
          <w:rFonts w:hint="eastAsia" w:asciiTheme="minorEastAsia" w:hAnsiTheme="minorEastAsia" w:eastAsiaTheme="minorEastAsia" w:cstheme="minorEastAsia"/>
          <w:b/>
          <w:bCs/>
          <w:sz w:val="24"/>
          <w:szCs w:val="24"/>
          <w:highlight w:val="none"/>
          <w:lang w:val="en-US" w:eastAsia="zh-CN"/>
        </w:rPr>
        <w:t>设计</w:t>
      </w:r>
      <w:r>
        <w:rPr>
          <w:rFonts w:hint="eastAsia" w:asciiTheme="minorEastAsia" w:hAnsiTheme="minorEastAsia" w:cstheme="minorEastAsia"/>
          <w:b/>
          <w:bCs/>
          <w:sz w:val="24"/>
          <w:szCs w:val="24"/>
          <w:highlight w:val="none"/>
          <w:lang w:val="en-US" w:eastAsia="zh-CN"/>
        </w:rPr>
        <w:t>依据</w:t>
      </w:r>
    </w:p>
    <w:p w14:paraId="6418C64B">
      <w:pPr>
        <w:pStyle w:val="8"/>
        <w:spacing w:before="120" w:after="120"/>
        <w:ind w:left="0" w:leftChars="0" w:firstLine="0" w:firstLineChars="0"/>
        <w:rPr>
          <w:rFonts w:ascii="新宋体" w:hAnsi="新宋体" w:eastAsia="新宋体" w:cs="新宋体"/>
          <w:color w:val="auto"/>
          <w:szCs w:val="24"/>
          <w:highlight w:val="none"/>
        </w:rPr>
      </w:pPr>
      <w:r>
        <w:rPr>
          <w:rFonts w:hint="eastAsia" w:ascii="新宋体" w:hAnsi="新宋体" w:eastAsia="新宋体" w:cs="新宋体"/>
          <w:color w:val="auto"/>
          <w:szCs w:val="24"/>
          <w:highlight w:val="none"/>
          <w:lang w:eastAsia="zh-CN"/>
        </w:rPr>
        <w:t>（</w:t>
      </w:r>
      <w:r>
        <w:rPr>
          <w:rFonts w:hint="eastAsia" w:ascii="新宋体" w:hAnsi="新宋体" w:eastAsia="新宋体" w:cs="新宋体"/>
          <w:color w:val="auto"/>
          <w:szCs w:val="24"/>
          <w:highlight w:val="none"/>
        </w:rPr>
        <w:t>1</w:t>
      </w:r>
      <w:r>
        <w:rPr>
          <w:rFonts w:hint="eastAsia" w:ascii="新宋体" w:hAnsi="新宋体" w:eastAsia="新宋体" w:cs="新宋体"/>
          <w:color w:val="auto"/>
          <w:szCs w:val="24"/>
          <w:highlight w:val="none"/>
          <w:lang w:eastAsia="zh-CN"/>
        </w:rPr>
        <w:t>）</w:t>
      </w:r>
      <w:r>
        <w:rPr>
          <w:rFonts w:hint="eastAsia" w:ascii="新宋体" w:hAnsi="新宋体" w:eastAsia="新宋体" w:cs="新宋体"/>
          <w:color w:val="auto"/>
          <w:szCs w:val="24"/>
          <w:highlight w:val="none"/>
        </w:rPr>
        <w:t>《“健康中国2030”规划纲要》（中共中央、国务院2016年10月25日发布）；</w:t>
      </w:r>
    </w:p>
    <w:p w14:paraId="082347F1">
      <w:pPr>
        <w:pStyle w:val="8"/>
        <w:spacing w:before="120" w:after="120"/>
        <w:ind w:left="0" w:leftChars="0" w:firstLine="0" w:firstLineChars="0"/>
        <w:rPr>
          <w:rFonts w:ascii="新宋体" w:hAnsi="新宋体" w:eastAsia="新宋体" w:cs="新宋体"/>
          <w:color w:val="auto"/>
          <w:szCs w:val="24"/>
          <w:highlight w:val="none"/>
        </w:rPr>
      </w:pPr>
      <w:r>
        <w:rPr>
          <w:rFonts w:hint="eastAsia" w:ascii="新宋体" w:hAnsi="新宋体" w:eastAsia="新宋体" w:cs="新宋体"/>
          <w:color w:val="auto"/>
          <w:szCs w:val="24"/>
          <w:highlight w:val="none"/>
          <w:lang w:eastAsia="zh-CN"/>
        </w:rPr>
        <w:t>（</w:t>
      </w:r>
      <w:r>
        <w:rPr>
          <w:rFonts w:hint="eastAsia" w:ascii="新宋体" w:hAnsi="新宋体" w:eastAsia="新宋体" w:cs="新宋体"/>
          <w:color w:val="auto"/>
          <w:szCs w:val="24"/>
          <w:highlight w:val="none"/>
        </w:rPr>
        <w:t>2</w:t>
      </w:r>
      <w:r>
        <w:rPr>
          <w:rFonts w:hint="eastAsia" w:ascii="新宋体" w:hAnsi="新宋体" w:eastAsia="新宋体" w:cs="新宋体"/>
          <w:color w:val="auto"/>
          <w:szCs w:val="24"/>
          <w:highlight w:val="none"/>
          <w:lang w:eastAsia="zh-CN"/>
        </w:rPr>
        <w:t>）</w:t>
      </w:r>
      <w:r>
        <w:rPr>
          <w:rFonts w:hint="eastAsia" w:ascii="新宋体" w:hAnsi="新宋体" w:eastAsia="新宋体" w:cs="新宋体"/>
          <w:color w:val="auto"/>
          <w:szCs w:val="24"/>
          <w:highlight w:val="none"/>
        </w:rPr>
        <w:t>国家卫健委发布《关于深入开展“互联网+医疗健康”便民惠民活动的通知》（国卫规划发[2018]22号）；</w:t>
      </w:r>
    </w:p>
    <w:p w14:paraId="2CE9B421">
      <w:pPr>
        <w:pStyle w:val="8"/>
        <w:spacing w:before="120" w:after="120"/>
        <w:ind w:left="0" w:leftChars="0" w:firstLine="0" w:firstLineChars="0"/>
        <w:rPr>
          <w:rFonts w:ascii="新宋体" w:hAnsi="新宋体" w:eastAsia="新宋体" w:cs="新宋体"/>
          <w:color w:val="auto"/>
          <w:szCs w:val="24"/>
          <w:highlight w:val="none"/>
        </w:rPr>
      </w:pPr>
      <w:r>
        <w:rPr>
          <w:rFonts w:hint="eastAsia" w:ascii="新宋体" w:hAnsi="新宋体" w:eastAsia="新宋体" w:cs="新宋体"/>
          <w:color w:val="auto"/>
          <w:szCs w:val="24"/>
          <w:highlight w:val="none"/>
          <w:lang w:eastAsia="zh-CN"/>
        </w:rPr>
        <w:t>（</w:t>
      </w:r>
      <w:r>
        <w:rPr>
          <w:rFonts w:hint="eastAsia" w:ascii="新宋体" w:hAnsi="新宋体" w:eastAsia="新宋体" w:cs="新宋体"/>
          <w:color w:val="auto"/>
          <w:szCs w:val="24"/>
          <w:highlight w:val="none"/>
        </w:rPr>
        <w:t>3</w:t>
      </w:r>
      <w:r>
        <w:rPr>
          <w:rFonts w:hint="eastAsia" w:ascii="新宋体" w:hAnsi="新宋体" w:eastAsia="新宋体" w:cs="新宋体"/>
          <w:color w:val="auto"/>
          <w:szCs w:val="24"/>
          <w:highlight w:val="none"/>
          <w:lang w:eastAsia="zh-CN"/>
        </w:rPr>
        <w:t>）</w:t>
      </w:r>
      <w:r>
        <w:rPr>
          <w:rFonts w:hint="eastAsia" w:ascii="新宋体" w:hAnsi="新宋体" w:eastAsia="新宋体" w:cs="新宋体"/>
          <w:color w:val="auto"/>
          <w:szCs w:val="24"/>
          <w:highlight w:val="none"/>
        </w:rPr>
        <w:t>中共中央、国务院2009年正式发布《关于深化医药卫生体制改革的意见》（2009-2020）；</w:t>
      </w:r>
    </w:p>
    <w:p w14:paraId="211D0288">
      <w:pPr>
        <w:pStyle w:val="8"/>
        <w:spacing w:before="120" w:after="120"/>
        <w:ind w:left="0" w:leftChars="0" w:firstLine="0" w:firstLineChars="0"/>
        <w:rPr>
          <w:rFonts w:ascii="新宋体" w:hAnsi="新宋体" w:eastAsia="新宋体" w:cs="新宋体"/>
          <w:color w:val="auto"/>
          <w:szCs w:val="24"/>
          <w:highlight w:val="none"/>
        </w:rPr>
      </w:pPr>
      <w:r>
        <w:rPr>
          <w:rFonts w:hint="eastAsia" w:ascii="新宋体" w:hAnsi="新宋体" w:eastAsia="新宋体" w:cs="新宋体"/>
          <w:color w:val="auto"/>
          <w:szCs w:val="24"/>
          <w:highlight w:val="none"/>
          <w:lang w:eastAsia="zh-CN"/>
        </w:rPr>
        <w:t>（</w:t>
      </w:r>
      <w:r>
        <w:rPr>
          <w:rFonts w:hint="eastAsia" w:ascii="新宋体" w:hAnsi="新宋体" w:eastAsia="新宋体" w:cs="新宋体"/>
          <w:color w:val="auto"/>
          <w:szCs w:val="24"/>
          <w:highlight w:val="none"/>
        </w:rPr>
        <w:t>4</w:t>
      </w:r>
      <w:r>
        <w:rPr>
          <w:rFonts w:hint="eastAsia" w:ascii="新宋体" w:hAnsi="新宋体" w:eastAsia="新宋体" w:cs="新宋体"/>
          <w:color w:val="auto"/>
          <w:szCs w:val="24"/>
          <w:highlight w:val="none"/>
          <w:lang w:eastAsia="zh-CN"/>
        </w:rPr>
        <w:t>）</w:t>
      </w:r>
      <w:r>
        <w:rPr>
          <w:rFonts w:hint="eastAsia" w:ascii="新宋体" w:hAnsi="新宋体" w:eastAsia="新宋体" w:cs="新宋体"/>
          <w:color w:val="auto"/>
          <w:szCs w:val="24"/>
          <w:highlight w:val="none"/>
        </w:rPr>
        <w:t>卫生计生委 中医药局关于印发进一步改善医疗服务行动计划（2018-2020年）的通知（国卫医发〔2017〕73号）；</w:t>
      </w:r>
    </w:p>
    <w:p w14:paraId="7577573B">
      <w:pPr>
        <w:pStyle w:val="8"/>
        <w:spacing w:before="120" w:after="120"/>
        <w:ind w:left="0" w:leftChars="0" w:firstLine="0" w:firstLineChars="0"/>
        <w:rPr>
          <w:rFonts w:ascii="新宋体" w:hAnsi="新宋体" w:eastAsia="新宋体" w:cs="新宋体"/>
          <w:color w:val="auto"/>
          <w:szCs w:val="24"/>
          <w:highlight w:val="none"/>
        </w:rPr>
      </w:pPr>
      <w:r>
        <w:rPr>
          <w:rFonts w:hint="eastAsia" w:ascii="新宋体" w:hAnsi="新宋体" w:eastAsia="新宋体" w:cs="新宋体"/>
          <w:color w:val="auto"/>
          <w:szCs w:val="24"/>
          <w:highlight w:val="none"/>
        </w:rPr>
        <w:t>（5）《关于促进和规范健康医疗大数据应用发展的指导意见》；</w:t>
      </w:r>
    </w:p>
    <w:p w14:paraId="3AEB0C5F">
      <w:pPr>
        <w:pStyle w:val="8"/>
        <w:spacing w:before="120" w:after="120"/>
        <w:ind w:left="0" w:leftChars="0" w:firstLine="0" w:firstLineChars="0"/>
        <w:rPr>
          <w:rFonts w:ascii="新宋体" w:hAnsi="新宋体" w:eastAsia="新宋体" w:cs="新宋体"/>
          <w:color w:val="auto"/>
          <w:szCs w:val="24"/>
          <w:highlight w:val="none"/>
        </w:rPr>
      </w:pPr>
      <w:r>
        <w:rPr>
          <w:rFonts w:hint="eastAsia" w:ascii="新宋体" w:hAnsi="新宋体" w:eastAsia="新宋体" w:cs="新宋体"/>
          <w:color w:val="auto"/>
          <w:szCs w:val="24"/>
          <w:highlight w:val="none"/>
        </w:rPr>
        <w:t>（6）《国民经济和社会发展第十三个五年规划纲要》；</w:t>
      </w:r>
    </w:p>
    <w:p w14:paraId="1A45666D">
      <w:pPr>
        <w:pStyle w:val="8"/>
        <w:spacing w:before="120" w:after="120"/>
        <w:ind w:left="0" w:leftChars="0" w:firstLine="0" w:firstLineChars="0"/>
        <w:rPr>
          <w:rFonts w:ascii="新宋体" w:hAnsi="新宋体" w:eastAsia="新宋体" w:cs="新宋体"/>
          <w:color w:val="auto"/>
          <w:szCs w:val="24"/>
          <w:highlight w:val="none"/>
        </w:rPr>
      </w:pPr>
      <w:r>
        <w:rPr>
          <w:rFonts w:hint="eastAsia" w:ascii="新宋体" w:hAnsi="新宋体" w:eastAsia="新宋体" w:cs="新宋体"/>
          <w:color w:val="auto"/>
          <w:szCs w:val="24"/>
          <w:highlight w:val="none"/>
        </w:rPr>
        <w:t>（7）福建省数字福建建设领导小组办公室《关于印发福建省数字福建建设项目管理暂行办法的通知》（闽数字办函〔2018〕281号）。</w:t>
      </w:r>
    </w:p>
    <w:p w14:paraId="484AD037">
      <w:pPr>
        <w:pageBreakBefore w:val="0"/>
        <w:numPr>
          <w:ilvl w:val="0"/>
          <w:numId w:val="0"/>
        </w:numPr>
        <w:kinsoku/>
        <w:wordWrap/>
        <w:overflowPunct/>
        <w:topLinePunct w:val="0"/>
        <w:bidi w:val="0"/>
        <w:spacing w:line="400" w:lineRule="exact"/>
        <w:textAlignment w:val="auto"/>
        <w:rPr>
          <w:rFonts w:hint="eastAsia" w:asciiTheme="minorEastAsia" w:hAnsiTheme="minorEastAsia" w:cstheme="minorEastAsia"/>
          <w:b/>
          <w:bCs/>
          <w:sz w:val="24"/>
          <w:szCs w:val="24"/>
          <w:highlight w:val="none"/>
          <w:lang w:val="en-US" w:eastAsia="zh-CN"/>
        </w:rPr>
      </w:pPr>
      <w:r>
        <w:rPr>
          <w:rFonts w:hint="eastAsia" w:asciiTheme="minorEastAsia" w:hAnsiTheme="minorEastAsia" w:cstheme="minorEastAsia"/>
          <w:b/>
          <w:bCs/>
          <w:sz w:val="24"/>
          <w:szCs w:val="24"/>
          <w:highlight w:val="none"/>
          <w:lang w:val="en-US" w:eastAsia="zh-CN"/>
        </w:rPr>
        <w:t>（三）技术要求</w:t>
      </w:r>
    </w:p>
    <w:p w14:paraId="7A868BAD">
      <w:pPr>
        <w:numPr>
          <w:ilvl w:val="0"/>
          <w:numId w:val="0"/>
        </w:numPr>
        <w:rPr>
          <w:rFonts w:hint="eastAsia" w:eastAsiaTheme="minorEastAsia"/>
          <w:highlight w:val="none"/>
          <w:lang w:eastAsia="zh-CN"/>
        </w:rPr>
      </w:pPr>
      <w:r>
        <w:rPr>
          <w:rFonts w:hint="eastAsia"/>
          <w:highlight w:val="none"/>
        </w:rPr>
        <w:t>1、</w:t>
      </w:r>
      <w:r>
        <w:rPr>
          <w:rFonts w:hint="eastAsia"/>
          <w:highlight w:val="none"/>
          <w:lang w:val="en-US" w:eastAsia="zh-CN"/>
        </w:rPr>
        <w:t>供应商编制初步</w:t>
      </w:r>
      <w:r>
        <w:rPr>
          <w:rFonts w:hint="eastAsia"/>
          <w:highlight w:val="none"/>
        </w:rPr>
        <w:t>设计方案应遵循国家相关政策法规，按有关标准、规范进行编制。</w:t>
      </w:r>
      <w:r>
        <w:rPr>
          <w:rFonts w:hint="eastAsia"/>
          <w:highlight w:val="none"/>
          <w:lang w:eastAsia="zh-CN"/>
        </w:rPr>
        <w:t>（</w:t>
      </w:r>
      <w:r>
        <w:rPr>
          <w:rFonts w:hint="eastAsia"/>
          <w:highlight w:val="none"/>
          <w:lang w:val="en-US" w:eastAsia="zh-CN"/>
        </w:rPr>
        <w:t>评审项1</w:t>
      </w:r>
      <w:r>
        <w:rPr>
          <w:rFonts w:hint="eastAsia"/>
          <w:highlight w:val="none"/>
          <w:lang w:eastAsia="zh-CN"/>
        </w:rPr>
        <w:t>）</w:t>
      </w:r>
    </w:p>
    <w:p w14:paraId="5151A055">
      <w:pPr>
        <w:numPr>
          <w:ilvl w:val="0"/>
          <w:numId w:val="0"/>
        </w:numPr>
        <w:rPr>
          <w:rFonts w:hint="eastAsia"/>
          <w:highlight w:val="none"/>
          <w:lang w:eastAsia="zh-CN"/>
        </w:rPr>
      </w:pPr>
      <w:r>
        <w:rPr>
          <w:rFonts w:hint="eastAsia"/>
          <w:highlight w:val="none"/>
          <w:lang w:val="en-US" w:eastAsia="zh-CN"/>
        </w:rPr>
        <w:t>2、</w:t>
      </w:r>
      <w:r>
        <w:rPr>
          <w:rFonts w:hint="eastAsia"/>
          <w:highlight w:val="none"/>
        </w:rPr>
        <w:t>供应商应对本项目建设的相关现状进行充分调研，</w:t>
      </w:r>
      <w:r>
        <w:rPr>
          <w:rFonts w:hint="eastAsia"/>
          <w:highlight w:val="none"/>
          <w:lang w:val="en-US" w:eastAsia="zh-CN"/>
        </w:rPr>
        <w:t>并</w:t>
      </w:r>
      <w:r>
        <w:rPr>
          <w:rFonts w:hint="eastAsia"/>
          <w:highlight w:val="none"/>
        </w:rPr>
        <w:t>针对项目现状与问题进行需求分析工作</w:t>
      </w:r>
      <w:r>
        <w:rPr>
          <w:rFonts w:hint="eastAsia"/>
          <w:highlight w:val="none"/>
          <w:lang w:eastAsia="zh-CN"/>
        </w:rPr>
        <w:t>。（</w:t>
      </w:r>
      <w:r>
        <w:rPr>
          <w:rFonts w:hint="eastAsia"/>
          <w:highlight w:val="none"/>
          <w:lang w:val="en-US" w:eastAsia="zh-CN"/>
        </w:rPr>
        <w:t>评审项2</w:t>
      </w:r>
      <w:r>
        <w:rPr>
          <w:rFonts w:hint="eastAsia"/>
          <w:highlight w:val="none"/>
          <w:lang w:eastAsia="zh-CN"/>
        </w:rPr>
        <w:t>）</w:t>
      </w:r>
    </w:p>
    <w:p w14:paraId="5C9A0C63">
      <w:pPr>
        <w:numPr>
          <w:ilvl w:val="0"/>
          <w:numId w:val="0"/>
        </w:numPr>
        <w:bidi w:val="0"/>
        <w:rPr>
          <w:rFonts w:hint="eastAsia"/>
          <w:highlight w:val="none"/>
          <w:lang w:eastAsia="zh-CN"/>
        </w:rPr>
      </w:pPr>
      <w:r>
        <w:rPr>
          <w:rFonts w:hint="eastAsia"/>
          <w:highlight w:val="none"/>
          <w:lang w:val="en-US" w:eastAsia="zh-CN"/>
        </w:rPr>
        <w:t>3、</w:t>
      </w:r>
      <w:r>
        <w:rPr>
          <w:rFonts w:hint="eastAsia"/>
          <w:highlight w:val="none"/>
        </w:rPr>
        <w:t>供应商应在完成现状调研、需求分析的基础上，完成项目的初步设计方案编制</w:t>
      </w:r>
      <w:r>
        <w:rPr>
          <w:rFonts w:hint="eastAsia"/>
          <w:highlight w:val="none"/>
          <w:lang w:eastAsia="zh-CN"/>
        </w:rPr>
        <w:t>。（</w:t>
      </w:r>
      <w:r>
        <w:rPr>
          <w:rFonts w:hint="eastAsia"/>
          <w:highlight w:val="none"/>
          <w:lang w:val="en-US" w:eastAsia="zh-CN"/>
        </w:rPr>
        <w:t>评审项3</w:t>
      </w:r>
      <w:r>
        <w:rPr>
          <w:rFonts w:hint="eastAsia"/>
          <w:highlight w:val="none"/>
          <w:lang w:eastAsia="zh-CN"/>
        </w:rPr>
        <w:t>）</w:t>
      </w:r>
    </w:p>
    <w:p w14:paraId="345943AE">
      <w:pPr>
        <w:numPr>
          <w:ilvl w:val="0"/>
          <w:numId w:val="0"/>
        </w:numPr>
        <w:bidi w:val="0"/>
        <w:rPr>
          <w:rFonts w:hint="eastAsia"/>
          <w:highlight w:val="none"/>
        </w:rPr>
      </w:pPr>
      <w:r>
        <w:rPr>
          <w:rFonts w:hint="eastAsia"/>
          <w:highlight w:val="none"/>
          <w:lang w:val="en-US" w:eastAsia="zh-CN"/>
        </w:rPr>
        <w:t>4、</w:t>
      </w:r>
      <w:r>
        <w:rPr>
          <w:rFonts w:hint="eastAsia"/>
          <w:highlight w:val="none"/>
        </w:rPr>
        <w:t>供应商在初步设计方案的编制中，应遵循“资源共享、互联互通”原则，尽可能利用</w:t>
      </w:r>
      <w:r>
        <w:rPr>
          <w:rFonts w:hint="eastAsia"/>
          <w:highlight w:val="none"/>
          <w:lang w:val="en-US" w:eastAsia="zh-CN"/>
        </w:rPr>
        <w:t>医院</w:t>
      </w:r>
      <w:r>
        <w:rPr>
          <w:rFonts w:hint="eastAsia"/>
          <w:highlight w:val="none"/>
        </w:rPr>
        <w:t>已有资源，避免重复建设，节约投资。</w:t>
      </w:r>
      <w:r>
        <w:rPr>
          <w:rFonts w:hint="eastAsia"/>
          <w:highlight w:val="none"/>
          <w:lang w:eastAsia="zh-CN"/>
        </w:rPr>
        <w:t>（</w:t>
      </w:r>
      <w:r>
        <w:rPr>
          <w:rFonts w:hint="eastAsia"/>
          <w:highlight w:val="none"/>
          <w:lang w:val="en-US" w:eastAsia="zh-CN"/>
        </w:rPr>
        <w:t>评审项4</w:t>
      </w:r>
      <w:r>
        <w:rPr>
          <w:rFonts w:hint="eastAsia"/>
          <w:highlight w:val="none"/>
          <w:lang w:eastAsia="zh-CN"/>
        </w:rPr>
        <w:t>）</w:t>
      </w:r>
    </w:p>
    <w:p w14:paraId="536A83FB">
      <w:pPr>
        <w:numPr>
          <w:ilvl w:val="0"/>
          <w:numId w:val="0"/>
        </w:numPr>
        <w:rPr>
          <w:rFonts w:hint="eastAsia"/>
          <w:highlight w:val="none"/>
        </w:rPr>
      </w:pPr>
      <w:r>
        <w:rPr>
          <w:rFonts w:hint="eastAsia"/>
          <w:highlight w:val="none"/>
          <w:lang w:val="en-US" w:eastAsia="zh-CN"/>
        </w:rPr>
        <w:t>5、</w:t>
      </w:r>
      <w:r>
        <w:rPr>
          <w:rFonts w:hint="eastAsia"/>
          <w:highlight w:val="none"/>
        </w:rPr>
        <w:t>供应商应在本项目可行性研究报告</w:t>
      </w:r>
      <w:r>
        <w:rPr>
          <w:rFonts w:hint="eastAsia"/>
          <w:highlight w:val="none"/>
          <w:lang w:val="en-US" w:eastAsia="zh-CN"/>
        </w:rPr>
        <w:t>和</w:t>
      </w:r>
      <w:r>
        <w:rPr>
          <w:rFonts w:hint="eastAsia"/>
          <w:highlight w:val="none"/>
        </w:rPr>
        <w:t>初步设计方案的基础上，完成整体项目建设概算编制工作。</w:t>
      </w:r>
      <w:r>
        <w:rPr>
          <w:rFonts w:hint="eastAsia"/>
          <w:highlight w:val="none"/>
          <w:lang w:eastAsia="zh-CN"/>
        </w:rPr>
        <w:t>（</w:t>
      </w:r>
      <w:r>
        <w:rPr>
          <w:rFonts w:hint="eastAsia"/>
          <w:highlight w:val="none"/>
          <w:lang w:val="en-US" w:eastAsia="zh-CN"/>
        </w:rPr>
        <w:t>评审项5</w:t>
      </w:r>
      <w:r>
        <w:rPr>
          <w:rFonts w:hint="eastAsia"/>
          <w:highlight w:val="none"/>
          <w:lang w:eastAsia="zh-CN"/>
        </w:rPr>
        <w:t>）</w:t>
      </w:r>
    </w:p>
    <w:p w14:paraId="4574A118">
      <w:pPr>
        <w:numPr>
          <w:ilvl w:val="0"/>
          <w:numId w:val="0"/>
        </w:numPr>
        <w:rPr>
          <w:rFonts w:hint="eastAsia"/>
          <w:highlight w:val="none"/>
        </w:rPr>
      </w:pPr>
      <w:r>
        <w:rPr>
          <w:rFonts w:hint="eastAsia"/>
          <w:highlight w:val="none"/>
          <w:lang w:val="en-US" w:eastAsia="zh-CN"/>
        </w:rPr>
        <w:t>6、</w:t>
      </w:r>
      <w:r>
        <w:rPr>
          <w:rFonts w:hint="eastAsia"/>
          <w:highlight w:val="none"/>
        </w:rPr>
        <w:t>供应商编写的项目</w:t>
      </w:r>
      <w:r>
        <w:rPr>
          <w:rFonts w:hint="eastAsia"/>
          <w:highlight w:val="none"/>
          <w:lang w:val="en-US" w:eastAsia="zh-CN"/>
        </w:rPr>
        <w:t>初步设计方案</w:t>
      </w:r>
      <w:r>
        <w:rPr>
          <w:rFonts w:hint="eastAsia"/>
          <w:highlight w:val="none"/>
        </w:rPr>
        <w:t>，应能通过</w:t>
      </w:r>
      <w:r>
        <w:rPr>
          <w:rFonts w:hint="eastAsia"/>
          <w:highlight w:val="none"/>
          <w:lang w:val="en-US" w:eastAsia="zh-CN"/>
        </w:rPr>
        <w:t>主管部门组织的</w:t>
      </w:r>
      <w:r>
        <w:rPr>
          <w:rFonts w:hint="eastAsia"/>
          <w:highlight w:val="none"/>
        </w:rPr>
        <w:t>专家评审。</w:t>
      </w:r>
      <w:r>
        <w:rPr>
          <w:rFonts w:hint="eastAsia"/>
          <w:highlight w:val="none"/>
          <w:lang w:eastAsia="zh-CN"/>
        </w:rPr>
        <w:t>（</w:t>
      </w:r>
      <w:r>
        <w:rPr>
          <w:rFonts w:hint="eastAsia"/>
          <w:highlight w:val="none"/>
          <w:lang w:val="en-US" w:eastAsia="zh-CN"/>
        </w:rPr>
        <w:t>评审项6</w:t>
      </w:r>
      <w:r>
        <w:rPr>
          <w:rFonts w:hint="eastAsia"/>
          <w:highlight w:val="none"/>
          <w:lang w:eastAsia="zh-CN"/>
        </w:rPr>
        <w:t>）</w:t>
      </w:r>
    </w:p>
    <w:p w14:paraId="1656601B">
      <w:pPr>
        <w:numPr>
          <w:ilvl w:val="0"/>
          <w:numId w:val="0"/>
        </w:numPr>
        <w:rPr>
          <w:rFonts w:hint="eastAsia"/>
          <w:highlight w:val="none"/>
        </w:rPr>
      </w:pPr>
      <w:r>
        <w:rPr>
          <w:rFonts w:hint="eastAsia"/>
          <w:highlight w:val="none"/>
          <w:lang w:val="en-US" w:eastAsia="zh-CN"/>
        </w:rPr>
        <w:t>7</w:t>
      </w:r>
      <w:r>
        <w:rPr>
          <w:rFonts w:hint="eastAsia"/>
          <w:highlight w:val="none"/>
        </w:rPr>
        <w:t>、供应商应按照项目建设目标和采购人应用需求，遵循国家项目建设和设计的标准和规范，采用先进、科学、合理的适合本项目特点的项目管理技巧和设计手段，对项目的进行科学、规范的监督、管理、控制和协调。对项目的前端点位设计、应用软件开发、设备和系统购置、安装调试、验收和后期运维等方面的工作进行全面设计。</w:t>
      </w:r>
      <w:r>
        <w:rPr>
          <w:rFonts w:hint="eastAsia"/>
          <w:highlight w:val="none"/>
          <w:lang w:eastAsia="zh-CN"/>
        </w:rPr>
        <w:t>（</w:t>
      </w:r>
      <w:r>
        <w:rPr>
          <w:rFonts w:hint="eastAsia"/>
          <w:highlight w:val="none"/>
          <w:lang w:val="en-US" w:eastAsia="zh-CN"/>
        </w:rPr>
        <w:t>评审项7</w:t>
      </w:r>
      <w:r>
        <w:rPr>
          <w:rFonts w:hint="eastAsia"/>
          <w:highlight w:val="none"/>
          <w:lang w:eastAsia="zh-CN"/>
        </w:rPr>
        <w:t>）</w:t>
      </w:r>
    </w:p>
    <w:p w14:paraId="466FAF81">
      <w:pPr>
        <w:numPr>
          <w:ilvl w:val="0"/>
          <w:numId w:val="0"/>
        </w:numPr>
        <w:rPr>
          <w:rFonts w:hint="eastAsia"/>
          <w:highlight w:val="none"/>
        </w:rPr>
      </w:pPr>
      <w:r>
        <w:rPr>
          <w:rFonts w:hint="eastAsia"/>
          <w:highlight w:val="none"/>
          <w:lang w:val="en-US" w:eastAsia="zh-CN"/>
        </w:rPr>
        <w:t>8、初步</w:t>
      </w:r>
      <w:r>
        <w:rPr>
          <w:rFonts w:hint="eastAsia"/>
          <w:highlight w:val="none"/>
        </w:rPr>
        <w:t>设计方案是进行项目建设及验收的重要依据。编制</w:t>
      </w:r>
      <w:r>
        <w:rPr>
          <w:rFonts w:hint="eastAsia"/>
          <w:highlight w:val="none"/>
          <w:lang w:val="en-US" w:eastAsia="zh-CN"/>
        </w:rPr>
        <w:t>初步</w:t>
      </w:r>
      <w:r>
        <w:rPr>
          <w:rFonts w:hint="eastAsia"/>
          <w:highlight w:val="none"/>
        </w:rPr>
        <w:t>设计方案时，应认真进行调查和研究，取得可靠的基本资料。设计应安全可靠，技术先进，密切结合实际，节约投资，注重经济效益。初步设计方案应有分析、论证、明确的结论和意见，文字简明扼要，图表完整清晰。</w:t>
      </w:r>
      <w:r>
        <w:rPr>
          <w:rFonts w:hint="eastAsia"/>
          <w:highlight w:val="none"/>
          <w:lang w:eastAsia="zh-CN"/>
        </w:rPr>
        <w:t>（</w:t>
      </w:r>
      <w:r>
        <w:rPr>
          <w:rFonts w:hint="eastAsia"/>
          <w:highlight w:val="none"/>
          <w:lang w:val="en-US" w:eastAsia="zh-CN"/>
        </w:rPr>
        <w:t>评审项8</w:t>
      </w:r>
      <w:r>
        <w:rPr>
          <w:rFonts w:hint="eastAsia"/>
          <w:highlight w:val="none"/>
          <w:lang w:eastAsia="zh-CN"/>
        </w:rPr>
        <w:t>）</w:t>
      </w:r>
    </w:p>
    <w:p w14:paraId="5D2A0C2A">
      <w:pPr>
        <w:numPr>
          <w:ilvl w:val="0"/>
          <w:numId w:val="0"/>
        </w:numPr>
        <w:rPr>
          <w:rFonts w:hint="eastAsia"/>
          <w:highlight w:val="none"/>
        </w:rPr>
      </w:pPr>
      <w:r>
        <w:rPr>
          <w:rFonts w:hint="eastAsia"/>
          <w:highlight w:val="none"/>
          <w:lang w:val="en-US" w:eastAsia="zh-CN"/>
        </w:rPr>
        <w:t>9</w:t>
      </w:r>
      <w:r>
        <w:rPr>
          <w:rFonts w:hint="eastAsia"/>
          <w:highlight w:val="none"/>
        </w:rPr>
        <w:t>、供应商的项目团队必须遵守国家的政策、法律法规，并严格执行采购人的各项规章制度，服从采购人的管理，认真履行工作职责。</w:t>
      </w:r>
      <w:r>
        <w:rPr>
          <w:rFonts w:hint="eastAsia"/>
          <w:highlight w:val="none"/>
          <w:lang w:eastAsia="zh-CN"/>
        </w:rPr>
        <w:t>（</w:t>
      </w:r>
      <w:r>
        <w:rPr>
          <w:rFonts w:hint="eastAsia"/>
          <w:highlight w:val="none"/>
          <w:lang w:val="en-US" w:eastAsia="zh-CN"/>
        </w:rPr>
        <w:t>评审项9</w:t>
      </w:r>
      <w:r>
        <w:rPr>
          <w:rFonts w:hint="eastAsia"/>
          <w:highlight w:val="none"/>
          <w:lang w:eastAsia="zh-CN"/>
        </w:rPr>
        <w:t>）</w:t>
      </w:r>
    </w:p>
    <w:p w14:paraId="26F432B1">
      <w:pPr>
        <w:numPr>
          <w:ilvl w:val="0"/>
          <w:numId w:val="0"/>
        </w:numPr>
        <w:rPr>
          <w:rFonts w:hint="eastAsia"/>
          <w:highlight w:val="none"/>
        </w:rPr>
      </w:pPr>
      <w:r>
        <w:rPr>
          <w:rFonts w:hint="eastAsia"/>
          <w:highlight w:val="none"/>
          <w:lang w:val="en-US" w:eastAsia="zh-CN"/>
        </w:rPr>
        <w:t>10</w:t>
      </w:r>
      <w:r>
        <w:rPr>
          <w:rFonts w:hint="eastAsia"/>
          <w:highlight w:val="none"/>
        </w:rPr>
        <w:t>、针对本项目，供应商需自行准备和提供过程中必要的办公设备和办公车辆。</w:t>
      </w:r>
      <w:r>
        <w:rPr>
          <w:rFonts w:hint="eastAsia"/>
          <w:highlight w:val="none"/>
          <w:lang w:eastAsia="zh-CN"/>
        </w:rPr>
        <w:t>（</w:t>
      </w:r>
      <w:r>
        <w:rPr>
          <w:rFonts w:hint="eastAsia"/>
          <w:highlight w:val="none"/>
          <w:lang w:val="en-US" w:eastAsia="zh-CN"/>
        </w:rPr>
        <w:t>评审项10</w:t>
      </w:r>
      <w:r>
        <w:rPr>
          <w:rFonts w:hint="eastAsia"/>
          <w:highlight w:val="none"/>
          <w:lang w:eastAsia="zh-CN"/>
        </w:rPr>
        <w:t>）</w:t>
      </w:r>
    </w:p>
    <w:p w14:paraId="5422146C">
      <w:pPr>
        <w:numPr>
          <w:ilvl w:val="0"/>
          <w:numId w:val="0"/>
        </w:numPr>
        <w:rPr>
          <w:rFonts w:hint="eastAsia"/>
          <w:highlight w:val="none"/>
          <w:lang w:val="en-US" w:eastAsia="zh-CN"/>
        </w:rPr>
      </w:pPr>
      <w:r>
        <w:rPr>
          <w:rFonts w:hint="eastAsia"/>
          <w:highlight w:val="none"/>
          <w:lang w:val="en-US" w:eastAsia="zh-CN"/>
        </w:rPr>
        <w:t>11、</w:t>
      </w:r>
      <w:r>
        <w:rPr>
          <w:rFonts w:hint="eastAsia"/>
          <w:highlight w:val="none"/>
        </w:rPr>
        <w:t>配合采购人完成项目相关评审</w:t>
      </w:r>
      <w:r>
        <w:rPr>
          <w:rFonts w:hint="eastAsia"/>
          <w:highlight w:val="none"/>
          <w:lang w:eastAsia="zh-CN"/>
        </w:rPr>
        <w:t>、</w:t>
      </w:r>
      <w:r>
        <w:rPr>
          <w:rFonts w:hint="eastAsia"/>
          <w:highlight w:val="none"/>
          <w:lang w:val="en-US" w:eastAsia="zh-CN"/>
        </w:rPr>
        <w:t>报批等</w:t>
      </w:r>
      <w:r>
        <w:rPr>
          <w:rFonts w:hint="eastAsia"/>
          <w:highlight w:val="none"/>
        </w:rPr>
        <w:t>工作</w:t>
      </w:r>
      <w:r>
        <w:rPr>
          <w:rFonts w:hint="eastAsia"/>
          <w:highlight w:val="none"/>
          <w:lang w:eastAsia="zh-CN"/>
        </w:rPr>
        <w:t>。（</w:t>
      </w:r>
      <w:r>
        <w:rPr>
          <w:rFonts w:hint="eastAsia"/>
          <w:highlight w:val="none"/>
          <w:lang w:val="en-US" w:eastAsia="zh-CN"/>
        </w:rPr>
        <w:t>评审项11</w:t>
      </w:r>
      <w:r>
        <w:rPr>
          <w:rFonts w:hint="eastAsia"/>
          <w:highlight w:val="none"/>
          <w:lang w:eastAsia="zh-CN"/>
        </w:rPr>
        <w:t>）</w:t>
      </w:r>
    </w:p>
    <w:p w14:paraId="725BDFC3">
      <w:pPr>
        <w:pStyle w:val="3"/>
        <w:pageBreakBefore w:val="0"/>
        <w:kinsoku/>
        <w:wordWrap/>
        <w:overflowPunct/>
        <w:topLinePunct w:val="0"/>
        <w:bidi w:val="0"/>
        <w:spacing w:before="0" w:after="0" w:line="240" w:lineRule="auto"/>
        <w:ind w:left="0" w:leftChars="0" w:firstLine="0" w:firstLineChars="0"/>
        <w:textAlignment w:val="auto"/>
        <w:rPr>
          <w:rFonts w:hint="default" w:asciiTheme="minorEastAsia" w:hAnsiTheme="minorEastAsia" w:cstheme="minorEastAsia"/>
          <w:sz w:val="24"/>
          <w:szCs w:val="24"/>
          <w:highlight w:val="none"/>
          <w:lang w:val="en-US" w:eastAsia="zh-CN"/>
        </w:rPr>
      </w:pPr>
      <w:r>
        <w:rPr>
          <w:rFonts w:hint="eastAsia"/>
          <w:sz w:val="24"/>
          <w:szCs w:val="24"/>
          <w:highlight w:val="none"/>
          <w:lang w:val="en-US" w:eastAsia="zh-CN"/>
        </w:rPr>
        <w:t>四、交付条件</w:t>
      </w:r>
    </w:p>
    <w:p w14:paraId="3EB8DEAB">
      <w:pPr>
        <w:pageBreakBefore w:val="0"/>
        <w:numPr>
          <w:ilvl w:val="0"/>
          <w:numId w:val="0"/>
        </w:numPr>
        <w:kinsoku/>
        <w:wordWrap/>
        <w:overflowPunct/>
        <w:topLinePunct w:val="0"/>
        <w:bidi w:val="0"/>
        <w:spacing w:line="400" w:lineRule="exact"/>
        <w:textAlignment w:val="auto"/>
        <w:rPr>
          <w:rFonts w:hint="default"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rPr>
        <w:t>交付时间：</w:t>
      </w:r>
      <w:r>
        <w:rPr>
          <w:rFonts w:hint="eastAsia" w:asciiTheme="minorEastAsia" w:hAnsiTheme="minorEastAsia" w:cstheme="minorEastAsia"/>
          <w:color w:val="auto"/>
          <w:kern w:val="2"/>
          <w:sz w:val="24"/>
          <w:szCs w:val="24"/>
          <w:highlight w:val="none"/>
          <w:lang w:val="en-US" w:eastAsia="zh-CN" w:bidi="ar-SA"/>
        </w:rPr>
        <w:t>合同签订</w:t>
      </w:r>
      <w:r>
        <w:rPr>
          <w:rFonts w:hint="eastAsia" w:asciiTheme="minorEastAsia" w:hAnsiTheme="minorEastAsia" w:eastAsiaTheme="minorEastAsia" w:cstheme="minorEastAsia"/>
          <w:color w:val="auto"/>
          <w:kern w:val="2"/>
          <w:sz w:val="24"/>
          <w:szCs w:val="24"/>
          <w:highlight w:val="none"/>
          <w:lang w:val="en-US" w:eastAsia="zh-CN" w:bidi="ar-SA"/>
        </w:rPr>
        <w:t>后15日历日</w:t>
      </w:r>
      <w:r>
        <w:rPr>
          <w:rFonts w:hint="eastAsia" w:asciiTheme="minorEastAsia" w:hAnsiTheme="minorEastAsia" w:cstheme="minorEastAsia"/>
          <w:color w:val="auto"/>
          <w:kern w:val="2"/>
          <w:sz w:val="24"/>
          <w:szCs w:val="24"/>
          <w:highlight w:val="none"/>
          <w:lang w:val="en-US" w:eastAsia="zh-CN" w:bidi="ar-SA"/>
        </w:rPr>
        <w:t>提交本项目</w:t>
      </w:r>
      <w:r>
        <w:rPr>
          <w:rFonts w:hint="eastAsia" w:asciiTheme="minorEastAsia" w:hAnsiTheme="minorEastAsia" w:cstheme="minorEastAsia"/>
          <w:sz w:val="24"/>
          <w:szCs w:val="24"/>
          <w:highlight w:val="none"/>
          <w:lang w:val="en-US" w:eastAsia="zh-CN"/>
        </w:rPr>
        <w:t>方案及初步设计送审文件</w:t>
      </w:r>
    </w:p>
    <w:p w14:paraId="0A058DEE">
      <w:pPr>
        <w:pageBreakBefore w:val="0"/>
        <w:numPr>
          <w:ilvl w:val="0"/>
          <w:numId w:val="0"/>
        </w:numPr>
        <w:kinsoku/>
        <w:wordWrap/>
        <w:overflowPunct/>
        <w:topLinePunct w:val="0"/>
        <w:bidi w:val="0"/>
        <w:spacing w:line="400" w:lineRule="exact"/>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、交付条件：</w:t>
      </w:r>
      <w:r>
        <w:rPr>
          <w:rFonts w:hint="eastAsia" w:asciiTheme="minorEastAsia" w:hAnsiTheme="minorEastAsia" w:cstheme="minorEastAsia"/>
          <w:color w:val="auto"/>
          <w:kern w:val="2"/>
          <w:sz w:val="24"/>
          <w:szCs w:val="24"/>
          <w:highlight w:val="none"/>
          <w:lang w:val="en-US" w:eastAsia="zh-CN" w:bidi="ar-SA"/>
        </w:rPr>
        <w:t>本项目</w:t>
      </w:r>
      <w:r>
        <w:rPr>
          <w:rFonts w:hint="eastAsia" w:asciiTheme="minorEastAsia" w:hAnsiTheme="minorEastAsia" w:cstheme="minorEastAsia"/>
          <w:sz w:val="24"/>
          <w:szCs w:val="24"/>
          <w:highlight w:val="none"/>
          <w:lang w:val="en-US" w:eastAsia="zh-CN"/>
        </w:rPr>
        <w:t>方案及初步设计成果</w:t>
      </w:r>
      <w:r>
        <w:rPr>
          <w:rFonts w:hint="eastAsia" w:asciiTheme="minorEastAsia" w:hAnsiTheme="minorEastAsia" w:eastAsiaTheme="minorEastAsia" w:cstheme="minorEastAsia"/>
          <w:sz w:val="24"/>
          <w:szCs w:val="24"/>
          <w:highlight w:val="none"/>
        </w:rPr>
        <w:t>通过</w:t>
      </w:r>
      <w:r>
        <w:rPr>
          <w:rFonts w:hint="eastAsia" w:asciiTheme="minorEastAsia" w:hAnsiTheme="minorEastAsia" w:cstheme="minorEastAsia"/>
          <w:sz w:val="24"/>
          <w:szCs w:val="24"/>
          <w:highlight w:val="none"/>
          <w:lang w:val="en-US" w:eastAsia="zh-CN"/>
        </w:rPr>
        <w:t>福建省发改委组织</w:t>
      </w:r>
      <w:r>
        <w:rPr>
          <w:rFonts w:hint="eastAsia" w:asciiTheme="minorEastAsia" w:hAnsiTheme="minorEastAsia" w:eastAsiaTheme="minorEastAsia" w:cstheme="minorEastAsia"/>
          <w:sz w:val="24"/>
          <w:szCs w:val="24"/>
          <w:highlight w:val="none"/>
          <w:lang w:val="en-US" w:eastAsia="zh-CN"/>
        </w:rPr>
        <w:t>的专家</w:t>
      </w:r>
      <w:r>
        <w:rPr>
          <w:rFonts w:hint="eastAsia" w:asciiTheme="minorEastAsia" w:hAnsiTheme="minorEastAsia" w:eastAsiaTheme="minorEastAsia" w:cstheme="minorEastAsia"/>
          <w:sz w:val="24"/>
          <w:szCs w:val="24"/>
          <w:highlight w:val="none"/>
        </w:rPr>
        <w:t>评审。</w:t>
      </w:r>
    </w:p>
    <w:p w14:paraId="09E6DBAB">
      <w:pPr>
        <w:pageBreakBefore w:val="0"/>
        <w:numPr>
          <w:ilvl w:val="0"/>
          <w:numId w:val="0"/>
        </w:numPr>
        <w:kinsoku/>
        <w:wordWrap/>
        <w:overflowPunct/>
        <w:topLinePunct w:val="0"/>
        <w:bidi w:val="0"/>
        <w:spacing w:line="40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、验收方式</w:t>
      </w:r>
    </w:p>
    <w:tbl>
      <w:tblPr>
        <w:tblStyle w:val="18"/>
        <w:tblW w:w="8359"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71"/>
        <w:gridCol w:w="6688"/>
      </w:tblGrid>
      <w:tr w14:paraId="1EB1D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tblHeader/>
          <w:tblCellSpacing w:w="0" w:type="dxa"/>
        </w:trPr>
        <w:tc>
          <w:tcPr>
            <w:tcW w:w="1671" w:type="dxa"/>
            <w:noWrap w:val="0"/>
            <w:vAlign w:val="center"/>
          </w:tcPr>
          <w:p w14:paraId="5EC1D086">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验收期次</w:t>
            </w:r>
          </w:p>
        </w:tc>
        <w:tc>
          <w:tcPr>
            <w:tcW w:w="6688" w:type="dxa"/>
            <w:noWrap w:val="0"/>
            <w:vAlign w:val="center"/>
          </w:tcPr>
          <w:p w14:paraId="7E1A9F17">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验收期次说明</w:t>
            </w:r>
          </w:p>
        </w:tc>
      </w:tr>
      <w:tr w14:paraId="6440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tblCellSpacing w:w="0" w:type="dxa"/>
        </w:trPr>
        <w:tc>
          <w:tcPr>
            <w:tcW w:w="1671" w:type="dxa"/>
            <w:noWrap w:val="0"/>
            <w:vAlign w:val="center"/>
          </w:tcPr>
          <w:p w14:paraId="672209A5">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6688" w:type="dxa"/>
            <w:noWrap w:val="0"/>
            <w:vAlign w:val="center"/>
          </w:tcPr>
          <w:p w14:paraId="37F2AE7A">
            <w:pPr>
              <w:pageBreakBefore w:val="0"/>
              <w:numPr>
                <w:ilvl w:val="0"/>
                <w:numId w:val="0"/>
              </w:numPr>
              <w:kinsoku/>
              <w:wordWrap/>
              <w:overflowPunct/>
              <w:topLinePunct w:val="0"/>
              <w:bidi w:val="0"/>
              <w:spacing w:line="40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方案及</w:t>
            </w:r>
            <w:r>
              <w:rPr>
                <w:rFonts w:hint="eastAsia" w:asciiTheme="minorEastAsia" w:hAnsiTheme="minorEastAsia" w:eastAsiaTheme="minorEastAsia" w:cstheme="minorEastAsia"/>
                <w:sz w:val="24"/>
                <w:szCs w:val="24"/>
                <w:highlight w:val="none"/>
                <w:lang w:val="en-US" w:eastAsia="zh-CN"/>
              </w:rPr>
              <w:t>初步设计方案</w:t>
            </w:r>
            <w:r>
              <w:rPr>
                <w:rFonts w:hint="eastAsia" w:asciiTheme="minorEastAsia" w:hAnsiTheme="minorEastAsia" w:eastAsiaTheme="minorEastAsia" w:cstheme="minorEastAsia"/>
                <w:sz w:val="24"/>
                <w:szCs w:val="24"/>
                <w:highlight w:val="none"/>
              </w:rPr>
              <w:t>通过专家评审后</w:t>
            </w:r>
            <w:r>
              <w:rPr>
                <w:rFonts w:hint="eastAsia" w:asciiTheme="minorEastAsia" w:hAnsiTheme="minorEastAsia" w:eastAsiaTheme="minorEastAsia" w:cstheme="minorEastAsia"/>
                <w:sz w:val="24"/>
                <w:szCs w:val="24"/>
                <w:highlight w:val="none"/>
                <w:lang w:val="en-US" w:eastAsia="zh-CN"/>
              </w:rPr>
              <w:t>即视为验收通过</w:t>
            </w:r>
            <w:r>
              <w:rPr>
                <w:rFonts w:hint="eastAsia" w:asciiTheme="minorEastAsia" w:hAnsiTheme="minorEastAsia" w:eastAsiaTheme="minorEastAsia" w:cstheme="minorEastAsia"/>
                <w:sz w:val="24"/>
                <w:szCs w:val="24"/>
                <w:highlight w:val="none"/>
              </w:rPr>
              <w:t>。</w:t>
            </w:r>
          </w:p>
        </w:tc>
      </w:tr>
    </w:tbl>
    <w:p w14:paraId="3D568371">
      <w:pPr>
        <w:pageBreakBefore w:val="0"/>
        <w:numPr>
          <w:ilvl w:val="0"/>
          <w:numId w:val="20"/>
        </w:numPr>
        <w:kinsoku/>
        <w:wordWrap/>
        <w:overflowPunct/>
        <w:topLinePunct w:val="0"/>
        <w:bidi w:val="0"/>
        <w:spacing w:line="400" w:lineRule="exac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支付方式</w:t>
      </w:r>
    </w:p>
    <w:p w14:paraId="52E7C145">
      <w:pPr>
        <w:pageBreakBefore w:val="0"/>
        <w:numPr>
          <w:ilvl w:val="0"/>
          <w:numId w:val="21"/>
        </w:numPr>
        <w:kinsoku/>
        <w:wordWrap/>
        <w:overflowPunct/>
        <w:topLinePunct w:val="0"/>
        <w:bidi w:val="0"/>
        <w:spacing w:line="400" w:lineRule="exact"/>
        <w:textAlignment w:val="auto"/>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基建提升专项设计费用</w:t>
      </w:r>
    </w:p>
    <w:tbl>
      <w:tblPr>
        <w:tblStyle w:val="18"/>
        <w:tblW w:w="8438" w:type="dxa"/>
        <w:tblCellSpacing w:w="0" w:type="dxa"/>
        <w:tblInd w:w="1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687"/>
        <w:gridCol w:w="1971"/>
        <w:gridCol w:w="4780"/>
      </w:tblGrid>
      <w:tr w14:paraId="580685C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70" w:hRule="atLeast"/>
          <w:tblHeader/>
          <w:tblCellSpacing w:w="0" w:type="dxa"/>
        </w:trPr>
        <w:tc>
          <w:tcPr>
            <w:tcW w:w="1687" w:type="dxa"/>
            <w:noWrap w:val="0"/>
            <w:vAlign w:val="center"/>
          </w:tcPr>
          <w:p w14:paraId="3928D788">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支付期次</w:t>
            </w:r>
          </w:p>
        </w:tc>
        <w:tc>
          <w:tcPr>
            <w:tcW w:w="1971" w:type="dxa"/>
            <w:noWrap w:val="0"/>
            <w:vAlign w:val="center"/>
          </w:tcPr>
          <w:p w14:paraId="04187C5B">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支付比例(%)</w:t>
            </w:r>
          </w:p>
        </w:tc>
        <w:tc>
          <w:tcPr>
            <w:tcW w:w="4780" w:type="dxa"/>
            <w:noWrap w:val="0"/>
            <w:vAlign w:val="center"/>
          </w:tcPr>
          <w:p w14:paraId="0772E9A8">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支付期次说明</w:t>
            </w:r>
          </w:p>
        </w:tc>
      </w:tr>
      <w:tr w14:paraId="357EAC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99" w:hRule="atLeast"/>
          <w:tblCellSpacing w:w="0" w:type="dxa"/>
        </w:trPr>
        <w:tc>
          <w:tcPr>
            <w:tcW w:w="1687" w:type="dxa"/>
            <w:noWrap w:val="0"/>
            <w:vAlign w:val="center"/>
          </w:tcPr>
          <w:p w14:paraId="41183C79">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1971" w:type="dxa"/>
            <w:noWrap w:val="0"/>
            <w:vAlign w:val="center"/>
          </w:tcPr>
          <w:p w14:paraId="155364A9">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rPr>
              <w:t>0</w:t>
            </w:r>
          </w:p>
          <w:p w14:paraId="6A76FF60">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（基建提升专项设计费金额）</w:t>
            </w:r>
          </w:p>
        </w:tc>
        <w:tc>
          <w:tcPr>
            <w:tcW w:w="4780" w:type="dxa"/>
            <w:noWrap w:val="0"/>
            <w:vAlign w:val="center"/>
          </w:tcPr>
          <w:p w14:paraId="74B13887">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提交方案及初步设计成果送审</w:t>
            </w:r>
          </w:p>
          <w:p w14:paraId="74C4C61A">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提供发票后</w:t>
            </w:r>
            <w:r>
              <w:rPr>
                <w:rFonts w:hint="eastAsia" w:asciiTheme="minorEastAsia" w:hAnsiTheme="minorEastAsia" w:eastAsiaTheme="minorEastAsia" w:cstheme="minorEastAsia"/>
                <w:sz w:val="24"/>
                <w:szCs w:val="24"/>
                <w:highlight w:val="none"/>
              </w:rPr>
              <w:t>一个月内支付。</w:t>
            </w:r>
          </w:p>
        </w:tc>
      </w:tr>
      <w:tr w14:paraId="43F49A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315" w:hRule="atLeast"/>
          <w:tblCellSpacing w:w="0" w:type="dxa"/>
        </w:trPr>
        <w:tc>
          <w:tcPr>
            <w:tcW w:w="1687" w:type="dxa"/>
            <w:noWrap w:val="0"/>
            <w:vAlign w:val="center"/>
          </w:tcPr>
          <w:p w14:paraId="56A93C57">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2</w:t>
            </w:r>
          </w:p>
        </w:tc>
        <w:tc>
          <w:tcPr>
            <w:tcW w:w="1971" w:type="dxa"/>
            <w:noWrap w:val="0"/>
            <w:vAlign w:val="center"/>
          </w:tcPr>
          <w:p w14:paraId="47AE1E78">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50</w:t>
            </w:r>
          </w:p>
          <w:p w14:paraId="23D685F1">
            <w:pPr>
              <w:pageBreakBefore w:val="0"/>
              <w:numPr>
                <w:ilvl w:val="0"/>
                <w:numId w:val="0"/>
              </w:numPr>
              <w:kinsoku/>
              <w:wordWrap/>
              <w:overflowPunct/>
              <w:topLinePunct w:val="0"/>
              <w:bidi w:val="0"/>
              <w:spacing w:line="400" w:lineRule="exact"/>
              <w:jc w:val="center"/>
              <w:textAlignment w:val="auto"/>
              <w:rPr>
                <w:rFonts w:hint="default"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（基建提升专项设计费金额）</w:t>
            </w:r>
          </w:p>
        </w:tc>
        <w:tc>
          <w:tcPr>
            <w:tcW w:w="4780" w:type="dxa"/>
            <w:noWrap w:val="0"/>
            <w:vAlign w:val="center"/>
          </w:tcPr>
          <w:p w14:paraId="4D4C951B">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cstheme="minorEastAsia"/>
                <w:sz w:val="24"/>
                <w:szCs w:val="24"/>
                <w:highlight w:val="none"/>
                <w:lang w:val="en-US" w:eastAsia="zh-CN"/>
              </w:rPr>
              <w:t>方案及</w:t>
            </w:r>
            <w:r>
              <w:rPr>
                <w:rFonts w:hint="eastAsia" w:asciiTheme="minorEastAsia" w:hAnsiTheme="minorEastAsia" w:eastAsiaTheme="minorEastAsia" w:cstheme="minorEastAsia"/>
                <w:sz w:val="24"/>
                <w:szCs w:val="24"/>
                <w:highlight w:val="none"/>
                <w:lang w:val="en-US" w:eastAsia="zh-CN"/>
              </w:rPr>
              <w:t>初步设计方案</w:t>
            </w:r>
            <w:r>
              <w:rPr>
                <w:rFonts w:hint="eastAsia" w:asciiTheme="minorEastAsia" w:hAnsiTheme="minorEastAsia" w:eastAsiaTheme="minorEastAsia" w:cstheme="minorEastAsia"/>
                <w:sz w:val="24"/>
                <w:szCs w:val="24"/>
                <w:highlight w:val="none"/>
              </w:rPr>
              <w:t>通过专家评审</w:t>
            </w:r>
          </w:p>
          <w:p w14:paraId="29AA1238">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提供发票后</w:t>
            </w:r>
            <w:r>
              <w:rPr>
                <w:rFonts w:hint="eastAsia" w:asciiTheme="minorEastAsia" w:hAnsiTheme="minorEastAsia" w:eastAsiaTheme="minorEastAsia" w:cstheme="minorEastAsia"/>
                <w:sz w:val="24"/>
                <w:szCs w:val="24"/>
                <w:highlight w:val="none"/>
              </w:rPr>
              <w:t>一个月内支付。</w:t>
            </w:r>
          </w:p>
        </w:tc>
      </w:tr>
    </w:tbl>
    <w:p w14:paraId="02CB61CD">
      <w:pPr>
        <w:pageBreakBefore w:val="0"/>
        <w:numPr>
          <w:ilvl w:val="0"/>
          <w:numId w:val="21"/>
        </w:numPr>
        <w:kinsoku/>
        <w:wordWrap/>
        <w:overflowPunct/>
        <w:topLinePunct w:val="0"/>
        <w:bidi w:val="0"/>
        <w:spacing w:line="400" w:lineRule="exact"/>
        <w:textAlignment w:val="auto"/>
        <w:rPr>
          <w:rFonts w:hint="default" w:asciiTheme="minorEastAsia" w:hAnsiTheme="minorEastAsia" w:cstheme="minorEastAsia"/>
          <w:sz w:val="24"/>
          <w:szCs w:val="24"/>
          <w:highlight w:val="none"/>
          <w:lang w:val="en-US" w:eastAsia="zh-CN"/>
        </w:rPr>
      </w:pPr>
      <w:r>
        <w:rPr>
          <w:rFonts w:hint="eastAsia" w:asciiTheme="minorEastAsia" w:hAnsiTheme="minorEastAsia" w:cstheme="minorEastAsia"/>
          <w:sz w:val="24"/>
          <w:szCs w:val="24"/>
          <w:highlight w:val="none"/>
          <w:lang w:val="en-US" w:eastAsia="zh-CN"/>
        </w:rPr>
        <w:t>信息化专项设计费用</w:t>
      </w:r>
    </w:p>
    <w:tbl>
      <w:tblPr>
        <w:tblStyle w:val="18"/>
        <w:tblW w:w="8336" w:type="dxa"/>
        <w:tblCellSpacing w:w="0" w:type="dxa"/>
        <w:tblInd w:w="1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667"/>
        <w:gridCol w:w="1667"/>
        <w:gridCol w:w="5002"/>
      </w:tblGrid>
      <w:tr w14:paraId="23AF3E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blHeader/>
          <w:tblCellSpacing w:w="0" w:type="dxa"/>
        </w:trPr>
        <w:tc>
          <w:tcPr>
            <w:tcW w:w="1667" w:type="dxa"/>
            <w:noWrap w:val="0"/>
            <w:vAlign w:val="center"/>
          </w:tcPr>
          <w:p w14:paraId="79C01AF1">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支付期次</w:t>
            </w:r>
          </w:p>
        </w:tc>
        <w:tc>
          <w:tcPr>
            <w:tcW w:w="1667" w:type="dxa"/>
            <w:noWrap w:val="0"/>
            <w:vAlign w:val="center"/>
          </w:tcPr>
          <w:p w14:paraId="46903DB9">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支付比例(%)</w:t>
            </w:r>
          </w:p>
        </w:tc>
        <w:tc>
          <w:tcPr>
            <w:tcW w:w="5002" w:type="dxa"/>
            <w:noWrap w:val="0"/>
            <w:vAlign w:val="center"/>
          </w:tcPr>
          <w:p w14:paraId="0386E1A4">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支付期次说明</w:t>
            </w:r>
          </w:p>
        </w:tc>
      </w:tr>
      <w:tr w14:paraId="7A13C6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blCellSpacing w:w="0" w:type="dxa"/>
        </w:trPr>
        <w:tc>
          <w:tcPr>
            <w:tcW w:w="1667" w:type="dxa"/>
            <w:noWrap w:val="0"/>
            <w:vAlign w:val="center"/>
          </w:tcPr>
          <w:p w14:paraId="5B380749">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1667" w:type="dxa"/>
            <w:noWrap w:val="0"/>
            <w:vAlign w:val="center"/>
          </w:tcPr>
          <w:p w14:paraId="4A1EBBE2">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100</w:t>
            </w:r>
            <w:r>
              <w:rPr>
                <w:rFonts w:hint="eastAsia" w:asciiTheme="minorEastAsia" w:hAnsiTheme="minorEastAsia" w:cstheme="minorEastAsia"/>
                <w:sz w:val="24"/>
                <w:szCs w:val="24"/>
                <w:highlight w:val="none"/>
                <w:lang w:eastAsia="zh-CN"/>
              </w:rPr>
              <w:t>（</w:t>
            </w:r>
            <w:r>
              <w:rPr>
                <w:rFonts w:hint="eastAsia" w:asciiTheme="minorEastAsia" w:hAnsiTheme="minorEastAsia" w:cstheme="minorEastAsia"/>
                <w:sz w:val="24"/>
                <w:szCs w:val="24"/>
                <w:highlight w:val="none"/>
                <w:lang w:val="en-US" w:eastAsia="zh-CN"/>
              </w:rPr>
              <w:t>信息化专项设计费金额</w:t>
            </w:r>
            <w:r>
              <w:rPr>
                <w:rFonts w:hint="eastAsia" w:asciiTheme="minorEastAsia" w:hAnsiTheme="minorEastAsia" w:cstheme="minorEastAsia"/>
                <w:sz w:val="24"/>
                <w:szCs w:val="24"/>
                <w:highlight w:val="none"/>
                <w:lang w:eastAsia="zh-CN"/>
              </w:rPr>
              <w:t>）</w:t>
            </w:r>
          </w:p>
        </w:tc>
        <w:tc>
          <w:tcPr>
            <w:tcW w:w="5002" w:type="dxa"/>
            <w:noWrap w:val="0"/>
            <w:vAlign w:val="center"/>
          </w:tcPr>
          <w:p w14:paraId="42018E06">
            <w:pPr>
              <w:pageBreakBefore w:val="0"/>
              <w:numPr>
                <w:ilvl w:val="0"/>
                <w:numId w:val="0"/>
              </w:numPr>
              <w:kinsoku/>
              <w:wordWrap/>
              <w:overflowPunct/>
              <w:topLinePunct w:val="0"/>
              <w:bidi w:val="0"/>
              <w:spacing w:line="400" w:lineRule="exact"/>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初步设计方案</w:t>
            </w:r>
            <w:r>
              <w:rPr>
                <w:rFonts w:hint="eastAsia" w:asciiTheme="minorEastAsia" w:hAnsiTheme="minorEastAsia" w:eastAsiaTheme="minorEastAsia" w:cstheme="minorEastAsia"/>
                <w:sz w:val="24"/>
                <w:szCs w:val="24"/>
                <w:highlight w:val="none"/>
              </w:rPr>
              <w:t>通过专家评审</w:t>
            </w:r>
            <w:r>
              <w:rPr>
                <w:rFonts w:hint="eastAsia" w:asciiTheme="minorEastAsia" w:hAnsiTheme="minorEastAsia" w:eastAsia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lang w:val="en-US" w:eastAsia="zh-CN"/>
              </w:rPr>
              <w:t>并提供项目全额发票后</w:t>
            </w:r>
            <w:r>
              <w:rPr>
                <w:rFonts w:hint="eastAsia" w:asciiTheme="minorEastAsia" w:hAnsiTheme="minorEastAsia" w:eastAsiaTheme="minorEastAsia" w:cstheme="minorEastAsia"/>
                <w:sz w:val="24"/>
                <w:szCs w:val="24"/>
                <w:highlight w:val="none"/>
              </w:rPr>
              <w:t>一个月内支付。</w:t>
            </w:r>
          </w:p>
        </w:tc>
      </w:tr>
    </w:tbl>
    <w:p w14:paraId="3FD920FA">
      <w:pPr>
        <w:pStyle w:val="28"/>
        <w:pageBreakBefore w:val="0"/>
        <w:kinsoku/>
        <w:wordWrap/>
        <w:overflowPunct/>
        <w:topLinePunct w:val="0"/>
        <w:bidi w:val="0"/>
        <w:spacing w:line="400" w:lineRule="exact"/>
        <w:jc w:val="center"/>
        <w:textAlignment w:val="auto"/>
        <w:outlineLvl w:val="0"/>
        <w:rPr>
          <w:b/>
          <w:sz w:val="36"/>
          <w:highlight w:val="none"/>
        </w:rPr>
      </w:pPr>
      <w:bookmarkStart w:id="22" w:name="_Toc758"/>
    </w:p>
    <w:p w14:paraId="4E05F07D">
      <w:pPr>
        <w:rPr>
          <w:b/>
          <w:sz w:val="36"/>
          <w:highlight w:val="none"/>
        </w:rPr>
      </w:pPr>
      <w:r>
        <w:rPr>
          <w:b/>
          <w:sz w:val="36"/>
          <w:highlight w:val="none"/>
        </w:rPr>
        <w:br w:type="page"/>
      </w:r>
    </w:p>
    <w:p w14:paraId="3AC63CFA">
      <w:pPr>
        <w:pStyle w:val="28"/>
        <w:pageBreakBefore w:val="0"/>
        <w:kinsoku/>
        <w:wordWrap/>
        <w:overflowPunct/>
        <w:topLinePunct w:val="0"/>
        <w:bidi w:val="0"/>
        <w:spacing w:line="400" w:lineRule="exact"/>
        <w:jc w:val="center"/>
        <w:textAlignment w:val="auto"/>
        <w:outlineLvl w:val="0"/>
        <w:rPr>
          <w:highlight w:val="none"/>
        </w:rPr>
      </w:pPr>
      <w:r>
        <w:rPr>
          <w:b/>
          <w:sz w:val="36"/>
          <w:highlight w:val="none"/>
        </w:rPr>
        <w:t>第四章 合同主要条款及格式</w:t>
      </w:r>
      <w:bookmarkEnd w:id="22"/>
    </w:p>
    <w:p w14:paraId="3FD2C21F">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2"/>
        <w:rPr>
          <w:rFonts w:hint="eastAsia" w:ascii="宋体" w:hAnsi="宋体" w:eastAsia="宋体" w:cs="宋体"/>
          <w:sz w:val="24"/>
          <w:szCs w:val="24"/>
          <w:highlight w:val="none"/>
        </w:rPr>
      </w:pPr>
      <w:r>
        <w:rPr>
          <w:rFonts w:hint="eastAsia" w:ascii="宋体" w:hAnsi="宋体" w:eastAsia="宋体" w:cs="宋体"/>
          <w:b/>
          <w:sz w:val="24"/>
          <w:szCs w:val="24"/>
          <w:highlight w:val="none"/>
        </w:rPr>
        <w:t>参考文本</w:t>
      </w:r>
    </w:p>
    <w:p w14:paraId="0103484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合同编号：</w:t>
      </w:r>
    </w:p>
    <w:p w14:paraId="47EE872A">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1"/>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 福建省政府采购合同</w:t>
      </w:r>
    </w:p>
    <w:p w14:paraId="6CD76BA6">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编制说明</w:t>
      </w:r>
      <w:r>
        <w:rPr>
          <w:rFonts w:hint="eastAsia" w:ascii="宋体" w:hAnsi="宋体" w:eastAsia="宋体" w:cs="宋体"/>
          <w:sz w:val="24"/>
          <w:szCs w:val="24"/>
          <w:highlight w:val="none"/>
        </w:rPr>
        <w:br w:type="textWrapping"/>
      </w:r>
    </w:p>
    <w:p w14:paraId="2414C06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 1.签订合同应遵守《中华人民共和国政府采购法》及其实施条例、《中华人民共和国民法典》等法律法规及其他有关规定。</w:t>
      </w:r>
    </w:p>
    <w:p w14:paraId="752FC0C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7E95A4D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 3.政府有关主管部门对若干合同有规范文本的，可使用相应合同文本。</w:t>
      </w:r>
    </w:p>
    <w:p w14:paraId="2A54239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 4.本合同范本仅供参考，采购人应当根据采购项目的实际需求对合同条款进行修改、补充。</w:t>
      </w:r>
    </w:p>
    <w:p w14:paraId="358FAF08">
      <w:pPr>
        <w:pStyle w:val="28"/>
        <w:keepNext w:val="0"/>
        <w:keepLines w:val="0"/>
        <w:pageBreakBefore w:val="0"/>
        <w:widowControl/>
        <w:kinsoku/>
        <w:wordWrap/>
        <w:overflowPunct/>
        <w:topLinePunct w:val="0"/>
        <w:autoSpaceDE/>
        <w:autoSpaceDN/>
        <w:bidi w:val="0"/>
        <w:adjustRightInd/>
        <w:snapToGrid/>
        <w:spacing w:line="400" w:lineRule="exact"/>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 ___________</w:t>
      </w:r>
    </w:p>
    <w:p w14:paraId="185675F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住所地： ___________</w:t>
      </w:r>
    </w:p>
    <w:p w14:paraId="2BDD43CC">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联系人： ___________</w:t>
      </w:r>
    </w:p>
    <w:p w14:paraId="7D68BE0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联系电话：___________</w:t>
      </w:r>
    </w:p>
    <w:p w14:paraId="0923E1F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传真：___________</w:t>
      </w:r>
    </w:p>
    <w:p w14:paraId="58C4B74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电子邮箱：___________</w:t>
      </w:r>
      <w:r>
        <w:rPr>
          <w:rFonts w:hint="eastAsia" w:ascii="宋体" w:hAnsi="宋体" w:eastAsia="宋体" w:cs="宋体"/>
          <w:sz w:val="24"/>
          <w:szCs w:val="24"/>
          <w:highlight w:val="none"/>
        </w:rPr>
        <w:br w:type="textWrapping"/>
      </w:r>
    </w:p>
    <w:p w14:paraId="20C6D3BC">
      <w:pPr>
        <w:pStyle w:val="28"/>
        <w:keepNext w:val="0"/>
        <w:keepLines w:val="0"/>
        <w:pageBreakBefore w:val="0"/>
        <w:widowControl/>
        <w:kinsoku/>
        <w:wordWrap/>
        <w:overflowPunct/>
        <w:topLinePunct w:val="0"/>
        <w:autoSpaceDE/>
        <w:autoSpaceDN/>
        <w:bidi w:val="0"/>
        <w:adjustRightInd/>
        <w:snapToGrid/>
        <w:spacing w:line="400" w:lineRule="exact"/>
        <w:ind w:left="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乙方： ___________</w:t>
      </w:r>
    </w:p>
    <w:p w14:paraId="0341917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住所地： ___________</w:t>
      </w:r>
    </w:p>
    <w:p w14:paraId="0B58917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联系人：___________</w:t>
      </w:r>
    </w:p>
    <w:p w14:paraId="307B8C5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联系电话：___________</w:t>
      </w:r>
    </w:p>
    <w:p w14:paraId="2BDC624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传真：___________</w:t>
      </w:r>
    </w:p>
    <w:p w14:paraId="33E79FC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电子邮箱：___________</w:t>
      </w:r>
    </w:p>
    <w:p w14:paraId="12062E05">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根据项目编号为________ 的 ___________项目（以下简称：“本项目”）的采购结果，遵循平等、自愿、公平和诚实信用的原则，双方签署本合同，具体内容如下：</w:t>
      </w:r>
    </w:p>
    <w:p w14:paraId="635C99B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 xml:space="preserve"> 一、合同组成部分</w:t>
      </w:r>
    </w:p>
    <w:p w14:paraId="76C322B7">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1.1本合同条款及附件；</w:t>
      </w:r>
    </w:p>
    <w:p w14:paraId="20D51D40">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1.2采购文件及其附件、补充文件；</w:t>
      </w:r>
    </w:p>
    <w:p w14:paraId="34238C4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1.3乙方的响应文件及其附件、补充文件；</w:t>
      </w:r>
    </w:p>
    <w:p w14:paraId="73A07B4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1.4其他文件或工程量清单等材料：</w:t>
      </w:r>
    </w:p>
    <w:p w14:paraId="25E7DB9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二、合同标的</w:t>
      </w:r>
      <w:r>
        <w:rPr>
          <w:rFonts w:hint="eastAsia" w:ascii="宋体" w:hAnsi="宋体" w:eastAsia="宋体" w:cs="宋体"/>
          <w:sz w:val="24"/>
          <w:szCs w:val="24"/>
          <w:highlight w:val="none"/>
        </w:rPr>
        <w:br w:type="textWrapping"/>
      </w:r>
      <w:r>
        <w:rPr>
          <w:rFonts w:hint="eastAsia" w:ascii="宋体" w:hAnsi="宋体" w:eastAsia="宋体" w:cs="宋体"/>
          <w:b/>
          <w:sz w:val="24"/>
          <w:szCs w:val="24"/>
          <w:highlight w:val="none"/>
        </w:rPr>
        <w:t>三、合同总金额</w:t>
      </w:r>
    </w:p>
    <w:p w14:paraId="45EE5D9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3.1合同总金额为人民币大写：</w:t>
      </w:r>
    </w:p>
    <w:p w14:paraId="39CBC847">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四、合同标的交付时间、地点和条件</w:t>
      </w:r>
    </w:p>
    <w:p w14:paraId="74EB9A6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4.1交付时间：</w:t>
      </w:r>
    </w:p>
    <w:p w14:paraId="50C81CD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4.2交付地点：</w:t>
      </w:r>
    </w:p>
    <w:p w14:paraId="3BF9F5C0">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4.3交付条件：</w:t>
      </w:r>
    </w:p>
    <w:p w14:paraId="6E9807D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五、合同标的应符合采购文件、乙方响应文件的规定或根据各行业规范、标准等要求约定，具体如下：</w:t>
      </w:r>
      <w:r>
        <w:rPr>
          <w:rFonts w:hint="eastAsia" w:ascii="宋体" w:hAnsi="宋体" w:eastAsia="宋体" w:cs="宋体"/>
          <w:sz w:val="24"/>
          <w:szCs w:val="24"/>
          <w:highlight w:val="none"/>
        </w:rPr>
        <w:br w:type="textWrapping"/>
      </w:r>
    </w:p>
    <w:p w14:paraId="50C450FD">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六、验收</w:t>
      </w:r>
    </w:p>
    <w:p w14:paraId="3DD9E27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6.1验收应按照招标文件、乙方投标文件的规定或约定进行，具体如下：</w:t>
      </w:r>
    </w:p>
    <w:p w14:paraId="7BF0A3A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6.2本项目是否邀请其他投标人参与验收：</w:t>
      </w:r>
    </w:p>
    <w:p w14:paraId="5AFFA4A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七、合同款项的支付应按照招标文件的规定进行，具体如下：</w:t>
      </w:r>
      <w:r>
        <w:rPr>
          <w:rFonts w:hint="eastAsia" w:ascii="宋体" w:hAnsi="宋体" w:eastAsia="宋体" w:cs="宋体"/>
          <w:sz w:val="24"/>
          <w:szCs w:val="24"/>
          <w:highlight w:val="none"/>
        </w:rPr>
        <w:br w:type="textWrapping"/>
      </w:r>
      <w:r>
        <w:rPr>
          <w:rFonts w:hint="eastAsia" w:ascii="宋体" w:hAnsi="宋体" w:eastAsia="宋体" w:cs="宋体"/>
          <w:b/>
          <w:sz w:val="24"/>
          <w:szCs w:val="24"/>
          <w:highlight w:val="none"/>
        </w:rPr>
        <w:t>八、履约保证金</w:t>
      </w:r>
      <w:r>
        <w:rPr>
          <w:rFonts w:hint="eastAsia" w:ascii="宋体" w:hAnsi="宋体" w:eastAsia="宋体" w:cs="宋体"/>
          <w:sz w:val="24"/>
          <w:szCs w:val="24"/>
          <w:highlight w:val="none"/>
        </w:rPr>
        <w:br w:type="textWrapping"/>
      </w:r>
      <w:r>
        <w:rPr>
          <w:rFonts w:hint="eastAsia" w:ascii="宋体" w:hAnsi="宋体" w:eastAsia="宋体" w:cs="宋体"/>
          <w:b/>
          <w:sz w:val="24"/>
          <w:szCs w:val="24"/>
          <w:highlight w:val="none"/>
        </w:rPr>
        <w:t>九、合同有效期</w:t>
      </w:r>
    </w:p>
    <w:p w14:paraId="2C15848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十、违约责任</w:t>
      </w:r>
      <w:r>
        <w:rPr>
          <w:rFonts w:hint="eastAsia" w:ascii="宋体" w:hAnsi="宋体" w:eastAsia="宋体" w:cs="宋体"/>
          <w:sz w:val="24"/>
          <w:szCs w:val="24"/>
          <w:highlight w:val="none"/>
        </w:rPr>
        <w:br w:type="textWrapping"/>
      </w:r>
      <w:r>
        <w:rPr>
          <w:rFonts w:hint="eastAsia" w:ascii="宋体" w:hAnsi="宋体" w:eastAsia="宋体" w:cs="宋体"/>
          <w:b/>
          <w:sz w:val="24"/>
          <w:szCs w:val="24"/>
          <w:highlight w:val="none"/>
        </w:rPr>
        <w:t>十一、知识产权</w:t>
      </w:r>
    </w:p>
    <w:p w14:paraId="1FFB81E7">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11.1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0DA9941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11.2若乙方提供的采购标的不符合国家知识产权法律、法规的规定或被有关主管机关认定为假冒伪劣品，则乙方中标资格将被取消；甲方还将按照有关法律、法规和规章的规定进行处理，具体如下：</w:t>
      </w:r>
    </w:p>
    <w:p w14:paraId="0F0B4BBC">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十二、解决争议的方法</w:t>
      </w:r>
    </w:p>
    <w:p w14:paraId="76A2A3D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12.1甲、乙双方协商解决。</w:t>
      </w:r>
    </w:p>
    <w:p w14:paraId="2DE7E50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12.2若协商解决不成，双方明确按以下第__方式解决：</w:t>
      </w:r>
    </w:p>
    <w:p w14:paraId="0393F74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1、提交仲裁委员会仲裁，具体如下：</w:t>
      </w:r>
    </w:p>
    <w:p w14:paraId="06B1468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2、向人民法院提起诉讼，具体如下：</w:t>
      </w:r>
    </w:p>
    <w:p w14:paraId="1839BE0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十三、不可抗力</w:t>
      </w:r>
    </w:p>
    <w:p w14:paraId="21067D8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6978B48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13.2本合同中的不可抗力指不能预见、不能避免、不能克服的客观情况，包括但不限于：自然灾害如地震、台风、洪水、火灾及政府行为、法律规定或其适用的变化或其他任何无法预见、避免或控制的事件。</w:t>
      </w:r>
    </w:p>
    <w:p w14:paraId="15CF1DB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十四、合同条款</w:t>
      </w:r>
      <w:r>
        <w:rPr>
          <w:rFonts w:hint="eastAsia" w:ascii="宋体" w:hAnsi="宋体" w:eastAsia="宋体" w:cs="宋体"/>
          <w:sz w:val="24"/>
          <w:szCs w:val="24"/>
          <w:highlight w:val="none"/>
        </w:rPr>
        <w:br w:type="textWrapping"/>
      </w:r>
      <w:r>
        <w:rPr>
          <w:rFonts w:hint="eastAsia" w:ascii="宋体" w:hAnsi="宋体" w:eastAsia="宋体" w:cs="宋体"/>
          <w:b/>
          <w:sz w:val="24"/>
          <w:szCs w:val="24"/>
          <w:highlight w:val="none"/>
        </w:rPr>
        <w:t>十五、其他约定</w:t>
      </w:r>
    </w:p>
    <w:p w14:paraId="5AEE247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15.1合同文件与本合同具有同等法律效力。</w:t>
      </w:r>
    </w:p>
    <w:p w14:paraId="0DC6AD4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15.2合同生效：合同经双方法定代表人或委托代理人签字并加盖单位公章后生效。</w:t>
      </w:r>
    </w:p>
    <w:p w14:paraId="5CB4273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15.3乙方完全遵守《中华人民共和国劳动合同法》有关规定和《中华人民共和国妇女权益保障法》中关于“劳动和社会保障权益”的有关要求。</w:t>
      </w:r>
    </w:p>
    <w:p w14:paraId="7053BDF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15.4本合同未尽事宜，遵照《中华人民共和国民法典》有关条文执行。</w:t>
      </w:r>
    </w:p>
    <w:p w14:paraId="5F2707D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15.5本合同正本一式_______份，具有同等法律效力，甲方、乙方各执_______份；</w:t>
      </w:r>
    </w:p>
    <w:p w14:paraId="3533200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15.</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其他</w:t>
      </w:r>
    </w:p>
    <w:p w14:paraId="7FDDF1D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outlineLvl w:val="3"/>
        <w:rPr>
          <w:rFonts w:hint="eastAsia" w:ascii="宋体" w:hAnsi="宋体" w:eastAsia="宋体" w:cs="宋体"/>
          <w:sz w:val="24"/>
          <w:szCs w:val="24"/>
          <w:highlight w:val="none"/>
        </w:rPr>
      </w:pPr>
      <w:r>
        <w:rPr>
          <w:rFonts w:hint="eastAsia" w:ascii="宋体" w:hAnsi="宋体" w:eastAsia="宋体" w:cs="宋体"/>
          <w:b/>
          <w:sz w:val="24"/>
          <w:szCs w:val="24"/>
          <w:highlight w:val="none"/>
        </w:rPr>
        <w:t>十六、合同附件</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t xml:space="preserve"> 甲方（采购人）：</w:t>
      </w:r>
    </w:p>
    <w:p w14:paraId="441577D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法定（授权）代表人</w:t>
      </w:r>
    </w:p>
    <w:p w14:paraId="4F286E5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纳税人识别号：</w:t>
      </w:r>
    </w:p>
    <w:p w14:paraId="4347432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开户银行：</w:t>
      </w:r>
    </w:p>
    <w:p w14:paraId="0EAC5DE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银行账号：</w:t>
      </w:r>
    </w:p>
    <w:p w14:paraId="69C4997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p w14:paraId="339612B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乙方（中标或成交人）：</w:t>
      </w:r>
    </w:p>
    <w:p w14:paraId="725499B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法定（授权）代表人：</w:t>
      </w:r>
    </w:p>
    <w:p w14:paraId="6D0F374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纳税人识别号：</w:t>
      </w:r>
    </w:p>
    <w:p w14:paraId="00B8B59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开户银行：</w:t>
      </w:r>
    </w:p>
    <w:p w14:paraId="6E9C31F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银行账号：</w:t>
      </w:r>
    </w:p>
    <w:p w14:paraId="76060A97">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签订地点：__________________</w:t>
      </w:r>
    </w:p>
    <w:p w14:paraId="00EF204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签订日期：___年___月___日</w:t>
      </w:r>
    </w:p>
    <w:p w14:paraId="273887B8">
      <w:pPr>
        <w:pStyle w:val="28"/>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page"/>
      </w:r>
    </w:p>
    <w:p w14:paraId="5747DD72">
      <w:pPr>
        <w:pStyle w:val="28"/>
        <w:pageBreakBefore w:val="0"/>
        <w:kinsoku/>
        <w:wordWrap/>
        <w:overflowPunct/>
        <w:topLinePunct w:val="0"/>
        <w:bidi w:val="0"/>
        <w:spacing w:line="400" w:lineRule="exact"/>
        <w:jc w:val="center"/>
        <w:textAlignment w:val="auto"/>
        <w:outlineLvl w:val="0"/>
        <w:rPr>
          <w:highlight w:val="none"/>
        </w:rPr>
      </w:pPr>
      <w:bookmarkStart w:id="23" w:name="_Toc28060"/>
      <w:r>
        <w:rPr>
          <w:b/>
          <w:sz w:val="36"/>
          <w:highlight w:val="none"/>
        </w:rPr>
        <w:t>第五章 首次响应文件格式</w:t>
      </w:r>
      <w:bookmarkEnd w:id="23"/>
    </w:p>
    <w:p w14:paraId="6279639A">
      <w:pPr>
        <w:pStyle w:val="28"/>
        <w:pageBreakBefore w:val="0"/>
        <w:kinsoku/>
        <w:wordWrap/>
        <w:overflowPunct/>
        <w:topLinePunct w:val="0"/>
        <w:bidi w:val="0"/>
        <w:spacing w:line="400" w:lineRule="exact"/>
        <w:jc w:val="center"/>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编制说明</w:t>
      </w:r>
    </w:p>
    <w:p w14:paraId="37D4F2C5">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本附件所有格式为响应文件的组成部分，供采购人或代理机构编制磋商文件时参考使用。由于新增政策、行业管理规定或者不同项目实际特点需要,则采购人或代理机构可以对有关表格进行必要的补充或修改，以满足实际项目的使用。</w:t>
      </w:r>
    </w:p>
    <w:p w14:paraId="284ECD19">
      <w:pPr>
        <w:pStyle w:val="28"/>
        <w:pageBreakBefore w:val="0"/>
        <w:kinsoku/>
        <w:wordWrap/>
        <w:overflowPunct/>
        <w:topLinePunct w:val="0"/>
        <w:bidi w:val="0"/>
        <w:spacing w:line="400" w:lineRule="exact"/>
        <w:textAlignment w:val="auto"/>
        <w:rPr>
          <w:highlight w:val="none"/>
        </w:rPr>
      </w:pPr>
      <w:r>
        <w:rPr>
          <w:rFonts w:hint="eastAsia" w:ascii="宋体" w:hAnsi="宋体" w:eastAsia="宋体" w:cs="宋体"/>
          <w:sz w:val="24"/>
          <w:szCs w:val="24"/>
          <w:highlight w:val="none"/>
        </w:rPr>
        <w:t xml:space="preserve"> </w:t>
      </w:r>
      <w:r>
        <w:rPr>
          <w:highlight w:val="none"/>
        </w:rPr>
        <w:br w:type="textWrapping"/>
      </w:r>
      <w:r>
        <w:rPr>
          <w:highlight w:val="none"/>
        </w:rPr>
        <w:br w:type="page"/>
      </w:r>
    </w:p>
    <w:p w14:paraId="392D8497">
      <w:pPr>
        <w:pStyle w:val="28"/>
        <w:pageBreakBefore w:val="0"/>
        <w:kinsoku/>
        <w:wordWrap/>
        <w:overflowPunct/>
        <w:topLinePunct w:val="0"/>
        <w:bidi w:val="0"/>
        <w:spacing w:line="400" w:lineRule="exact"/>
        <w:jc w:val="center"/>
        <w:textAlignment w:val="auto"/>
        <w:outlineLvl w:val="9"/>
        <w:rPr>
          <w:b/>
          <w:sz w:val="48"/>
          <w:highlight w:val="none"/>
        </w:rPr>
      </w:pPr>
      <w:r>
        <w:rPr>
          <w:b/>
          <w:sz w:val="48"/>
          <w:highlight w:val="none"/>
        </w:rPr>
        <w:t xml:space="preserve"> </w:t>
      </w:r>
    </w:p>
    <w:p w14:paraId="005B6143">
      <w:pPr>
        <w:pStyle w:val="28"/>
        <w:pageBreakBefore w:val="0"/>
        <w:kinsoku/>
        <w:wordWrap/>
        <w:overflowPunct/>
        <w:topLinePunct w:val="0"/>
        <w:bidi w:val="0"/>
        <w:spacing w:line="400" w:lineRule="exact"/>
        <w:jc w:val="center"/>
        <w:textAlignment w:val="auto"/>
        <w:outlineLvl w:val="9"/>
        <w:rPr>
          <w:highlight w:val="none"/>
        </w:rPr>
      </w:pPr>
      <w:r>
        <w:rPr>
          <w:rFonts w:hint="eastAsia"/>
          <w:b/>
          <w:sz w:val="48"/>
          <w:highlight w:val="none"/>
        </w:rPr>
        <w:t>福建省儿童医院采购项目</w:t>
      </w:r>
      <w:r>
        <w:rPr>
          <w:b/>
          <w:sz w:val="48"/>
          <w:highlight w:val="none"/>
        </w:rPr>
        <w:t>竞争性磋商</w:t>
      </w:r>
    </w:p>
    <w:p w14:paraId="6A16C8D9">
      <w:pPr>
        <w:pStyle w:val="28"/>
        <w:pageBreakBefore w:val="0"/>
        <w:kinsoku/>
        <w:wordWrap/>
        <w:overflowPunct/>
        <w:topLinePunct w:val="0"/>
        <w:bidi w:val="0"/>
        <w:spacing w:line="400" w:lineRule="exact"/>
        <w:jc w:val="center"/>
        <w:textAlignment w:val="auto"/>
        <w:outlineLvl w:val="9"/>
        <w:rPr>
          <w:highlight w:val="none"/>
        </w:rPr>
      </w:pPr>
      <w:r>
        <w:rPr>
          <w:b/>
          <w:sz w:val="36"/>
          <w:highlight w:val="none"/>
        </w:rPr>
        <w:t>响应文件</w:t>
      </w:r>
    </w:p>
    <w:p w14:paraId="6A37F253">
      <w:pPr>
        <w:pStyle w:val="28"/>
        <w:pageBreakBefore w:val="0"/>
        <w:kinsoku/>
        <w:wordWrap/>
        <w:overflowPunct/>
        <w:topLinePunct w:val="0"/>
        <w:bidi w:val="0"/>
        <w:spacing w:line="400" w:lineRule="exact"/>
        <w:jc w:val="center"/>
        <w:textAlignment w:val="auto"/>
        <w:outlineLvl w:val="9"/>
        <w:rPr>
          <w:highlight w:val="none"/>
        </w:rPr>
      </w:pPr>
      <w:r>
        <w:rPr>
          <w:b/>
          <w:sz w:val="36"/>
          <w:highlight w:val="none"/>
        </w:rPr>
        <w:t>（首次）</w:t>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p>
    <w:p w14:paraId="759C5E74">
      <w:pPr>
        <w:pStyle w:val="28"/>
        <w:pageBreakBefore w:val="0"/>
        <w:kinsoku/>
        <w:wordWrap/>
        <w:overflowPunct/>
        <w:topLinePunct w:val="0"/>
        <w:bidi w:val="0"/>
        <w:spacing w:line="400" w:lineRule="exact"/>
        <w:jc w:val="center"/>
        <w:textAlignment w:val="auto"/>
        <w:outlineLvl w:val="9"/>
        <w:rPr>
          <w:highlight w:val="none"/>
        </w:rPr>
      </w:pPr>
    </w:p>
    <w:p w14:paraId="3BA5FC10">
      <w:pPr>
        <w:pStyle w:val="28"/>
        <w:pageBreakBefore w:val="0"/>
        <w:kinsoku/>
        <w:wordWrap/>
        <w:overflowPunct/>
        <w:topLinePunct w:val="0"/>
        <w:bidi w:val="0"/>
        <w:spacing w:line="400" w:lineRule="exact"/>
        <w:jc w:val="center"/>
        <w:textAlignment w:val="auto"/>
        <w:outlineLvl w:val="9"/>
        <w:rPr>
          <w:highlight w:val="none"/>
        </w:rPr>
      </w:pPr>
    </w:p>
    <w:p w14:paraId="6A5FCF0C">
      <w:pPr>
        <w:pStyle w:val="28"/>
        <w:pageBreakBefore w:val="0"/>
        <w:kinsoku/>
        <w:wordWrap/>
        <w:overflowPunct/>
        <w:topLinePunct w:val="0"/>
        <w:bidi w:val="0"/>
        <w:spacing w:line="400" w:lineRule="exact"/>
        <w:ind w:firstLine="562" w:firstLineChars="200"/>
        <w:jc w:val="both"/>
        <w:textAlignment w:val="auto"/>
        <w:outlineLvl w:val="9"/>
        <w:rPr>
          <w:highlight w:val="none"/>
        </w:rPr>
      </w:pPr>
      <w:r>
        <w:rPr>
          <w:b/>
          <w:sz w:val="28"/>
          <w:highlight w:val="none"/>
        </w:rPr>
        <w:t>项目名称：</w:t>
      </w:r>
      <w:r>
        <w:rPr>
          <w:b/>
          <w:sz w:val="28"/>
          <w:highlight w:val="none"/>
          <w:u w:val="single"/>
        </w:rPr>
        <w:t xml:space="preserve">                                </w:t>
      </w:r>
    </w:p>
    <w:p w14:paraId="5A8F128B">
      <w:pPr>
        <w:pStyle w:val="28"/>
        <w:pageBreakBefore w:val="0"/>
        <w:kinsoku/>
        <w:wordWrap/>
        <w:overflowPunct/>
        <w:topLinePunct w:val="0"/>
        <w:bidi w:val="0"/>
        <w:spacing w:line="400" w:lineRule="exact"/>
        <w:ind w:firstLine="562" w:firstLineChars="200"/>
        <w:jc w:val="both"/>
        <w:textAlignment w:val="auto"/>
        <w:outlineLvl w:val="9"/>
        <w:rPr>
          <w:highlight w:val="none"/>
        </w:rPr>
      </w:pPr>
      <w:r>
        <w:rPr>
          <w:b/>
          <w:sz w:val="28"/>
          <w:highlight w:val="none"/>
        </w:rPr>
        <w:t>项目编号：</w:t>
      </w:r>
      <w:r>
        <w:rPr>
          <w:b/>
          <w:sz w:val="28"/>
          <w:highlight w:val="none"/>
          <w:u w:val="single"/>
        </w:rPr>
        <w:t xml:space="preserve">                                </w:t>
      </w:r>
    </w:p>
    <w:p w14:paraId="6679379C">
      <w:pPr>
        <w:pStyle w:val="28"/>
        <w:pageBreakBefore w:val="0"/>
        <w:kinsoku/>
        <w:wordWrap/>
        <w:overflowPunct/>
        <w:topLinePunct w:val="0"/>
        <w:bidi w:val="0"/>
        <w:spacing w:line="400" w:lineRule="exact"/>
        <w:ind w:firstLine="562" w:firstLineChars="200"/>
        <w:jc w:val="both"/>
        <w:textAlignment w:val="auto"/>
        <w:outlineLvl w:val="9"/>
        <w:rPr>
          <w:highlight w:val="none"/>
        </w:rPr>
      </w:pPr>
      <w:r>
        <w:rPr>
          <w:b/>
          <w:sz w:val="28"/>
          <w:highlight w:val="none"/>
        </w:rPr>
        <w:t>采购包：</w:t>
      </w:r>
      <w:r>
        <w:rPr>
          <w:b/>
          <w:sz w:val="28"/>
          <w:highlight w:val="none"/>
          <w:u w:val="single"/>
        </w:rPr>
        <w:t xml:space="preserve">                                  </w:t>
      </w:r>
      <w:r>
        <w:rPr>
          <w:highlight w:val="none"/>
        </w:rPr>
        <w:br w:type="textWrapping"/>
      </w:r>
      <w:r>
        <w:rPr>
          <w:highlight w:val="none"/>
        </w:rPr>
        <w:br w:type="textWrapping"/>
      </w:r>
    </w:p>
    <w:p w14:paraId="4E49E73C">
      <w:pPr>
        <w:pStyle w:val="28"/>
        <w:pageBreakBefore w:val="0"/>
        <w:kinsoku/>
        <w:wordWrap/>
        <w:overflowPunct/>
        <w:topLinePunct w:val="0"/>
        <w:bidi w:val="0"/>
        <w:spacing w:line="400" w:lineRule="exact"/>
        <w:jc w:val="both"/>
        <w:textAlignment w:val="auto"/>
        <w:outlineLvl w:val="9"/>
        <w:rPr>
          <w:highlight w:val="none"/>
        </w:rPr>
      </w:pPr>
    </w:p>
    <w:p w14:paraId="565D0052">
      <w:pPr>
        <w:pStyle w:val="28"/>
        <w:pageBreakBefore w:val="0"/>
        <w:kinsoku/>
        <w:wordWrap/>
        <w:overflowPunct/>
        <w:topLinePunct w:val="0"/>
        <w:bidi w:val="0"/>
        <w:spacing w:line="400" w:lineRule="exact"/>
        <w:jc w:val="both"/>
        <w:textAlignment w:val="auto"/>
        <w:outlineLvl w:val="9"/>
        <w:rPr>
          <w:highlight w:val="none"/>
        </w:rPr>
      </w:pPr>
    </w:p>
    <w:p w14:paraId="5E2EB1D2">
      <w:pPr>
        <w:pStyle w:val="28"/>
        <w:pageBreakBefore w:val="0"/>
        <w:kinsoku/>
        <w:wordWrap/>
        <w:overflowPunct/>
        <w:topLinePunct w:val="0"/>
        <w:bidi w:val="0"/>
        <w:spacing w:line="400" w:lineRule="exact"/>
        <w:jc w:val="both"/>
        <w:textAlignment w:val="auto"/>
        <w:outlineLvl w:val="9"/>
        <w:rPr>
          <w:highlight w:val="none"/>
        </w:rPr>
      </w:pPr>
    </w:p>
    <w:p w14:paraId="390F820C">
      <w:pPr>
        <w:pStyle w:val="28"/>
        <w:pageBreakBefore w:val="0"/>
        <w:kinsoku/>
        <w:wordWrap/>
        <w:overflowPunct/>
        <w:topLinePunct w:val="0"/>
        <w:bidi w:val="0"/>
        <w:spacing w:line="400" w:lineRule="exact"/>
        <w:ind w:firstLine="562" w:firstLineChars="200"/>
        <w:jc w:val="both"/>
        <w:textAlignment w:val="auto"/>
        <w:outlineLvl w:val="9"/>
        <w:rPr>
          <w:highlight w:val="none"/>
        </w:rPr>
      </w:pPr>
      <w:r>
        <w:rPr>
          <w:rFonts w:hint="eastAsia"/>
          <w:b/>
          <w:sz w:val="28"/>
          <w:highlight w:val="none"/>
          <w:lang w:eastAsia="zh-CN"/>
        </w:rPr>
        <w:t>投标人</w:t>
      </w:r>
      <w:r>
        <w:rPr>
          <w:b/>
          <w:sz w:val="28"/>
          <w:highlight w:val="none"/>
        </w:rPr>
        <w:t>名称：</w:t>
      </w:r>
      <w:r>
        <w:rPr>
          <w:b/>
          <w:sz w:val="28"/>
          <w:highlight w:val="none"/>
          <w:u w:val="single"/>
        </w:rPr>
        <w:t xml:space="preserve">                               </w:t>
      </w:r>
    </w:p>
    <w:p w14:paraId="58D4A6ED">
      <w:pPr>
        <w:pStyle w:val="28"/>
        <w:pageBreakBefore w:val="0"/>
        <w:kinsoku/>
        <w:wordWrap/>
        <w:overflowPunct/>
        <w:topLinePunct w:val="0"/>
        <w:bidi w:val="0"/>
        <w:spacing w:line="400" w:lineRule="exact"/>
        <w:ind w:firstLine="562" w:firstLineChars="200"/>
        <w:jc w:val="both"/>
        <w:textAlignment w:val="auto"/>
        <w:outlineLvl w:val="9"/>
        <w:rPr>
          <w:highlight w:val="none"/>
        </w:rPr>
      </w:pPr>
      <w:r>
        <w:rPr>
          <w:b/>
          <w:sz w:val="28"/>
          <w:highlight w:val="none"/>
        </w:rPr>
        <w:t>日      期：</w:t>
      </w:r>
      <w:r>
        <w:rPr>
          <w:b/>
          <w:sz w:val="28"/>
          <w:highlight w:val="none"/>
          <w:u w:val="single"/>
        </w:rPr>
        <w:t xml:space="preserve">                        </w:t>
      </w:r>
      <w:r>
        <w:rPr>
          <w:rFonts w:hint="eastAsia"/>
          <w:b/>
          <w:sz w:val="28"/>
          <w:highlight w:val="none"/>
          <w:u w:val="single"/>
          <w:lang w:val="en-US" w:eastAsia="zh-CN"/>
        </w:rPr>
        <w:t xml:space="preserve">  </w:t>
      </w:r>
      <w:r>
        <w:rPr>
          <w:b/>
          <w:sz w:val="28"/>
          <w:highlight w:val="none"/>
          <w:u w:val="single"/>
        </w:rPr>
        <w:t xml:space="preserve">     </w:t>
      </w:r>
    </w:p>
    <w:p w14:paraId="2AFC88A8">
      <w:pPr>
        <w:pStyle w:val="28"/>
        <w:pageBreakBefore w:val="0"/>
        <w:kinsoku/>
        <w:wordWrap/>
        <w:overflowPunct/>
        <w:topLinePunct w:val="0"/>
        <w:bidi w:val="0"/>
        <w:spacing w:line="400" w:lineRule="exact"/>
        <w:textAlignment w:val="auto"/>
        <w:rPr>
          <w:highlight w:val="none"/>
        </w:rPr>
      </w:pPr>
      <w:r>
        <w:rPr>
          <w:highlight w:val="none"/>
        </w:rPr>
        <w:t xml:space="preserve"> </w:t>
      </w:r>
      <w:r>
        <w:rPr>
          <w:highlight w:val="none"/>
        </w:rPr>
        <w:br w:type="textWrapping"/>
      </w:r>
      <w:r>
        <w:rPr>
          <w:highlight w:val="none"/>
        </w:rPr>
        <w:br w:type="page"/>
      </w:r>
    </w:p>
    <w:p w14:paraId="0DF2B28F">
      <w:pPr>
        <w:pStyle w:val="28"/>
        <w:pageBreakBefore w:val="0"/>
        <w:kinsoku/>
        <w:wordWrap/>
        <w:overflowPunct/>
        <w:topLinePunct w:val="0"/>
        <w:bidi w:val="0"/>
        <w:spacing w:line="400" w:lineRule="exact"/>
        <w:jc w:val="center"/>
        <w:textAlignment w:val="auto"/>
        <w:outlineLvl w:val="9"/>
        <w:rPr>
          <w:highlight w:val="none"/>
        </w:rPr>
      </w:pPr>
      <w:r>
        <w:rPr>
          <w:b/>
          <w:sz w:val="28"/>
          <w:highlight w:val="none"/>
        </w:rPr>
        <w:t>目录</w:t>
      </w:r>
    </w:p>
    <w:p w14:paraId="7ADFE789">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附件1：响应函</w:t>
      </w:r>
    </w:p>
    <w:p w14:paraId="74F8E1FB">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附件2：</w:t>
      </w:r>
      <w:r>
        <w:rPr>
          <w:rFonts w:hint="eastAsia" w:ascii="宋体" w:hAnsi="宋体" w:eastAsia="宋体" w:cs="宋体"/>
          <w:sz w:val="24"/>
          <w:szCs w:val="24"/>
          <w:highlight w:val="none"/>
          <w:lang w:eastAsia="zh-CN"/>
        </w:rPr>
        <w:t>报价一览表</w:t>
      </w:r>
    </w:p>
    <w:p w14:paraId="3667EECA">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附件3：资格证明文件</w:t>
      </w:r>
    </w:p>
    <w:p w14:paraId="231F240E">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附件4：磋商保证金凭证</w:t>
      </w:r>
    </w:p>
    <w:p w14:paraId="3E784C19">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附件5：技术和商务偏离表</w:t>
      </w:r>
    </w:p>
    <w:p w14:paraId="62521289">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附件6：相关技术、商务、服务响应承诺及资料</w:t>
      </w:r>
    </w:p>
    <w:p w14:paraId="628ACFD8">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附件7：</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提交的其他资料</w:t>
      </w:r>
    </w:p>
    <w:p w14:paraId="72D9E57C">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附件8：要求作为响应文件组成部分的其他内容（若有）</w:t>
      </w:r>
    </w:p>
    <w:p w14:paraId="1210180E">
      <w:pPr>
        <w:pStyle w:val="28"/>
        <w:pageBreakBefore w:val="0"/>
        <w:kinsoku/>
        <w:wordWrap/>
        <w:overflowPunct/>
        <w:topLinePunct w:val="0"/>
        <w:bidi w:val="0"/>
        <w:spacing w:line="400" w:lineRule="exact"/>
        <w:textAlignment w:val="auto"/>
        <w:rPr>
          <w:highlight w:val="none"/>
        </w:rPr>
      </w:pPr>
      <w:r>
        <w:rPr>
          <w:highlight w:val="none"/>
        </w:rPr>
        <w:t xml:space="preserve"> </w:t>
      </w:r>
      <w:r>
        <w:rPr>
          <w:highlight w:val="none"/>
        </w:rPr>
        <w:br w:type="textWrapping"/>
      </w:r>
      <w:r>
        <w:rPr>
          <w:highlight w:val="none"/>
        </w:rPr>
        <w:br w:type="page"/>
      </w:r>
    </w:p>
    <w:p w14:paraId="018193B5">
      <w:pPr>
        <w:pStyle w:val="28"/>
        <w:pageBreakBefore w:val="0"/>
        <w:kinsoku/>
        <w:wordWrap/>
        <w:overflowPunct/>
        <w:topLinePunct w:val="0"/>
        <w:bidi w:val="0"/>
        <w:spacing w:line="400" w:lineRule="exact"/>
        <w:jc w:val="center"/>
        <w:textAlignment w:val="auto"/>
        <w:outlineLvl w:val="2"/>
        <w:rPr>
          <w:highlight w:val="none"/>
        </w:rPr>
      </w:pPr>
      <w:r>
        <w:rPr>
          <w:b/>
          <w:sz w:val="28"/>
          <w:highlight w:val="none"/>
        </w:rPr>
        <w:t>附件1 磋商响应声明</w:t>
      </w:r>
    </w:p>
    <w:p w14:paraId="3592901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248027C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1.根据贵方为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项目（项目编号: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）的采购公告（或采购邀请书），我方签字代表</w:t>
      </w:r>
      <w:r>
        <w:rPr>
          <w:rFonts w:hint="eastAsia" w:ascii="宋体" w:hAnsi="宋体" w:eastAsia="宋体" w:cs="宋体"/>
          <w:sz w:val="24"/>
          <w:szCs w:val="24"/>
          <w:highlight w:val="none"/>
          <w:u w:val="single"/>
        </w:rPr>
        <w:t xml:space="preserve"> （全名、职务）</w:t>
      </w:r>
      <w:r>
        <w:rPr>
          <w:rFonts w:hint="eastAsia" w:ascii="宋体" w:hAnsi="宋体" w:eastAsia="宋体" w:cs="宋体"/>
          <w:sz w:val="24"/>
          <w:szCs w:val="24"/>
          <w:highlight w:val="none"/>
        </w:rPr>
        <w:t>经正式授权并代表的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u w:val="single"/>
          <w:lang w:eastAsia="zh-CN"/>
        </w:rPr>
        <w:t>投标人</w:t>
      </w:r>
      <w:r>
        <w:rPr>
          <w:rFonts w:hint="eastAsia" w:ascii="宋体" w:hAnsi="宋体" w:eastAsia="宋体" w:cs="宋体"/>
          <w:sz w:val="24"/>
          <w:szCs w:val="24"/>
          <w:highlight w:val="none"/>
          <w:u w:val="single"/>
        </w:rPr>
        <w:t>名称、地址）</w:t>
      </w:r>
      <w:r>
        <w:rPr>
          <w:rFonts w:hint="eastAsia" w:ascii="宋体" w:hAnsi="宋体" w:eastAsia="宋体" w:cs="宋体"/>
          <w:sz w:val="24"/>
          <w:szCs w:val="24"/>
          <w:highlight w:val="none"/>
        </w:rPr>
        <w:t>提交包含下述内容的首次响应纸质文件正本</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套，副本</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套及电子文档</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套。</w:t>
      </w:r>
    </w:p>
    <w:p w14:paraId="3787393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（1）响应函</w:t>
      </w:r>
    </w:p>
    <w:p w14:paraId="56ACD9A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报价一览表</w:t>
      </w:r>
    </w:p>
    <w:p w14:paraId="384C5A6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（3）资格证明文件</w:t>
      </w:r>
    </w:p>
    <w:p w14:paraId="65CC995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（4）磋商保证金凭证</w:t>
      </w:r>
    </w:p>
    <w:p w14:paraId="23B7D93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（5）技术和商务偏离表</w:t>
      </w:r>
    </w:p>
    <w:p w14:paraId="7893471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（6）相关技术、商务、服务响应承诺及资料</w:t>
      </w:r>
    </w:p>
    <w:p w14:paraId="53F563F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提交的其他资料</w:t>
      </w:r>
    </w:p>
    <w:p w14:paraId="2DD4435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（8）按照磋商文件规定，要求作为响应文件组成部分的其他内容（若有）</w:t>
      </w:r>
    </w:p>
    <w:p w14:paraId="6C90FC3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2.据此函，我方宣布响应承诺如下：</w:t>
      </w:r>
    </w:p>
    <w:p w14:paraId="504657C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我方已详细审查全部竞争性磋商文件，包括澄清、修改、补充或更正文件（如有的话）和有关附件，我方完全熟悉和理解其中的要求、条款和条件，且无任何异议。除了我方已在技术和商务偏离表中列出的负偏差和不响应外，我方承诺将按竞争性磋商文件的各项规定履行合同责任和义务。竞争性磋商文件及其附件资料如果有涉及应当保密的内容， 我方将严格遵守规定，不将应当保密的内容泄密给第三方或另作它用，如有违反，采购人可依法追究我方的法律责任。</w:t>
      </w:r>
    </w:p>
    <w:p w14:paraId="5CB72B0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一旦我方获得成交，我方将按照竞争性磋商文件的要求和我方提交的响应文件（包括首次响应文件、补充澄清、最后报价等响应文件）中的承诺，投入项目所需相关资源，并在合同约定的期限内组织有经验的人员做好项目的实施和服务工作。贵方向我方发出成交通知书后，我方承诺遵守国家相关法律和竞争性磋商文件的要求， 并在规定的期限内与采购人签订合同。</w:t>
      </w:r>
    </w:p>
    <w:p w14:paraId="4896D8D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我方承诺：递交的所有响应文件（包括首次响应文件、补充澄清、最后报价等响应文件）在竞争性磋商须知前附表第4项规定的响应文件有效期内始终保持有效，我方将受此约束。我方对响应文件中的所有承诺、声明、数据和资料的真实性、准确性、合法性、有效性负责；我方响应文件中有关复印件或扫描件资料均与原件一致。 如有违反，我方将承担法律责任和后果。</w:t>
      </w:r>
    </w:p>
    <w:p w14:paraId="1E51F7A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2.4我方已经按照磋商文件要求提交磋商保证金，磋商保证金有效期与响应文件有效期一致，我方如果发生任何竞争性磋商文件中所述不予退还磋商保证金的情况，则我方的磋商保证金将被贵方不予退还，我方对此无异议。磋商保证金或保函有效期与响应文件有效期保持一致。</w:t>
      </w:r>
    </w:p>
    <w:p w14:paraId="55918F8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2.5我方愿意向贵方提供任何与本项目磋商采购有关的数据或资料。若贵方需要，我方愿意提供我方作出的一切承诺的证明材料。</w:t>
      </w:r>
    </w:p>
    <w:p w14:paraId="58F541D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2.6我方联系方式、电子信箱和通信地址等信息如下，用于接受贵方发出的与本次磋商活动有关的一切往来信息或通知（包括补充、澄清和成交通知等），我方自行承担信息错误、通讯设备故障或延误查收信息给我方带来的后果和责任。 贵方按我方写明的下述联系方式、电子信箱或通信地址发出任何信息或通知，均视同为我方已收悉并知晓，我方均予以认可。</w:t>
      </w:r>
    </w:p>
    <w:p w14:paraId="24102C3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2.7我方承诺遵守《中华人民共和国劳动合同法》有关规定和《中华人民共和国妇女权益保障法 》中关于“劳动和社会保障权益”的有关要求。</w:t>
      </w:r>
    </w:p>
    <w:p w14:paraId="183CFC8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2.8我方承诺响应文件所提供的全部资料真实可靠，并接受磋商小组、采购人、采购代理机构、监管部门进一步审查其中任何资料真实性的要求。</w:t>
      </w:r>
    </w:p>
    <w:p w14:paraId="69FB15E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p>
    <w:p w14:paraId="3DF54C2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通信地址：</w:t>
      </w:r>
      <w:r>
        <w:rPr>
          <w:rFonts w:hint="eastAsia" w:ascii="宋体" w:hAnsi="宋体" w:eastAsia="宋体" w:cs="宋体"/>
          <w:sz w:val="24"/>
          <w:szCs w:val="24"/>
          <w:highlight w:val="none"/>
          <w:u w:val="single"/>
        </w:rPr>
        <w:t>　　　　　　　　　　　</w:t>
      </w:r>
    </w:p>
    <w:p w14:paraId="1AA38EB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邮编：</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 xml:space="preserve"> 传真号：</w:t>
      </w:r>
      <w:r>
        <w:rPr>
          <w:rFonts w:hint="eastAsia" w:ascii="宋体" w:hAnsi="宋体" w:eastAsia="宋体" w:cs="宋体"/>
          <w:sz w:val="24"/>
          <w:szCs w:val="24"/>
          <w:highlight w:val="none"/>
          <w:u w:val="single"/>
        </w:rPr>
        <w:t>　　　　　　</w:t>
      </w:r>
    </w:p>
    <w:p w14:paraId="1C7B528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联系电话（固定电话和移动电话）：</w:t>
      </w:r>
      <w:r>
        <w:rPr>
          <w:rFonts w:hint="eastAsia" w:ascii="宋体" w:hAnsi="宋体" w:eastAsia="宋体" w:cs="宋体"/>
          <w:sz w:val="24"/>
          <w:szCs w:val="24"/>
          <w:highlight w:val="none"/>
          <w:u w:val="single"/>
        </w:rPr>
        <w:t>　　　　　　　　</w:t>
      </w:r>
    </w:p>
    <w:p w14:paraId="312A2F6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　　</w:t>
      </w:r>
    </w:p>
    <w:p w14:paraId="0DF51CD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代表电子信箱：</w:t>
      </w:r>
      <w:r>
        <w:rPr>
          <w:rFonts w:hint="eastAsia" w:ascii="宋体" w:hAnsi="宋体" w:eastAsia="宋体" w:cs="宋体"/>
          <w:sz w:val="24"/>
          <w:szCs w:val="24"/>
          <w:highlight w:val="none"/>
          <w:u w:val="single"/>
        </w:rPr>
        <w:t>　　　　　　　　</w:t>
      </w:r>
    </w:p>
    <w:p w14:paraId="365FE6A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（全称并加盖公章）　　</w:t>
      </w:r>
    </w:p>
    <w:p w14:paraId="2528AE9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58FB51C9">
      <w:pPr>
        <w:pStyle w:val="28"/>
        <w:pageBreakBefore w:val="0"/>
        <w:kinsoku/>
        <w:wordWrap/>
        <w:overflowPunct/>
        <w:topLinePunct w:val="0"/>
        <w:bidi w:val="0"/>
        <w:spacing w:line="400" w:lineRule="exact"/>
        <w:jc w:val="left"/>
        <w:textAlignment w:val="auto"/>
        <w:rPr>
          <w:highlight w:val="none"/>
        </w:rPr>
      </w:pPr>
      <w:r>
        <w:rPr>
          <w:highlight w:val="none"/>
        </w:rPr>
        <w:t xml:space="preserve"> </w:t>
      </w:r>
      <w:r>
        <w:rPr>
          <w:highlight w:val="none"/>
        </w:rPr>
        <w:br w:type="textWrapping"/>
      </w:r>
      <w:r>
        <w:rPr>
          <w:highlight w:val="none"/>
        </w:rPr>
        <w:br w:type="page"/>
      </w:r>
    </w:p>
    <w:p w14:paraId="08FDABB8">
      <w:pPr>
        <w:pStyle w:val="28"/>
        <w:pageBreakBefore w:val="0"/>
        <w:kinsoku/>
        <w:wordWrap/>
        <w:overflowPunct/>
        <w:topLinePunct w:val="0"/>
        <w:bidi w:val="0"/>
        <w:spacing w:line="400" w:lineRule="exact"/>
        <w:jc w:val="center"/>
        <w:textAlignment w:val="auto"/>
        <w:outlineLvl w:val="2"/>
        <w:rPr>
          <w:rFonts w:hint="eastAsia" w:ascii="宋体" w:hAnsi="宋体" w:eastAsia="宋体" w:cs="宋体"/>
          <w:sz w:val="28"/>
          <w:szCs w:val="28"/>
          <w:highlight w:val="none"/>
          <w:lang w:eastAsia="zh-CN"/>
        </w:rPr>
      </w:pPr>
      <w:r>
        <w:rPr>
          <w:rFonts w:hint="eastAsia" w:ascii="宋体" w:hAnsi="宋体" w:eastAsia="宋体" w:cs="宋体"/>
          <w:b/>
          <w:sz w:val="28"/>
          <w:szCs w:val="28"/>
          <w:highlight w:val="none"/>
        </w:rPr>
        <w:t>附件</w:t>
      </w:r>
      <w:r>
        <w:rPr>
          <w:rFonts w:hint="eastAsia" w:ascii="宋体" w:hAnsi="宋体" w:eastAsia="宋体" w:cs="宋体"/>
          <w:b/>
          <w:sz w:val="28"/>
          <w:szCs w:val="28"/>
          <w:highlight w:val="none"/>
          <w:lang w:val="en-US" w:eastAsia="zh-CN"/>
        </w:rPr>
        <w:t xml:space="preserve">2 </w:t>
      </w:r>
      <w:r>
        <w:rPr>
          <w:rFonts w:hint="eastAsia" w:ascii="宋体" w:hAnsi="宋体" w:eastAsia="宋体" w:cs="宋体"/>
          <w:b/>
          <w:sz w:val="28"/>
          <w:szCs w:val="28"/>
          <w:highlight w:val="none"/>
          <w:lang w:eastAsia="zh-CN"/>
        </w:rPr>
        <w:t>报价一览表</w:t>
      </w:r>
    </w:p>
    <w:p w14:paraId="7130CA2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b/>
          <w:bCs/>
          <w:sz w:val="24"/>
          <w:szCs w:val="24"/>
          <w:highlight w:val="none"/>
        </w:rPr>
      </w:pPr>
    </w:p>
    <w:p w14:paraId="3665A5D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项目名称：上海儿童医学中心福建医院——国家区域医疗中心建设项目（二期）方案及初步设计</w:t>
      </w:r>
    </w:p>
    <w:p w14:paraId="22388B4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b/>
          <w:bCs/>
          <w:sz w:val="24"/>
          <w:szCs w:val="24"/>
          <w:highlight w:val="none"/>
        </w:rPr>
        <w:t>项目编号：ETHQZB202</w:t>
      </w:r>
      <w:r>
        <w:rPr>
          <w:rFonts w:hint="eastAsia" w:ascii="宋体" w:hAnsi="宋体" w:eastAsia="宋体" w:cs="宋体"/>
          <w:b/>
          <w:bCs/>
          <w:sz w:val="24"/>
          <w:szCs w:val="24"/>
          <w:highlight w:val="none"/>
          <w:lang w:val="en-US" w:eastAsia="zh-CN"/>
        </w:rPr>
        <w:t>5</w:t>
      </w:r>
      <w:r>
        <w:rPr>
          <w:rFonts w:hint="eastAsia" w:ascii="宋体" w:hAnsi="宋体" w:eastAsia="宋体" w:cs="宋体"/>
          <w:b/>
          <w:bCs/>
          <w:sz w:val="24"/>
          <w:szCs w:val="24"/>
          <w:highlight w:val="none"/>
        </w:rPr>
        <w:t>0</w:t>
      </w:r>
      <w:r>
        <w:rPr>
          <w:rFonts w:hint="eastAsia" w:ascii="宋体" w:hAnsi="宋体" w:eastAsia="宋体" w:cs="宋体"/>
          <w:b/>
          <w:bCs/>
          <w:sz w:val="24"/>
          <w:szCs w:val="24"/>
          <w:highlight w:val="none"/>
          <w:lang w:val="en-US" w:eastAsia="zh-CN"/>
        </w:rPr>
        <w:t>1</w:t>
      </w:r>
    </w:p>
    <w:tbl>
      <w:tblPr>
        <w:tblStyle w:val="18"/>
        <w:tblW w:w="850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3"/>
        <w:gridCol w:w="2231"/>
        <w:gridCol w:w="720"/>
        <w:gridCol w:w="1356"/>
        <w:gridCol w:w="1155"/>
        <w:gridCol w:w="1534"/>
        <w:gridCol w:w="865"/>
      </w:tblGrid>
      <w:tr w14:paraId="7036AF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40" w:hRule="atLeast"/>
          <w:jc w:val="center"/>
        </w:trPr>
        <w:tc>
          <w:tcPr>
            <w:tcW w:w="643" w:type="dxa"/>
            <w:vAlign w:val="center"/>
          </w:tcPr>
          <w:p w14:paraId="605A481D">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采购包</w:t>
            </w:r>
          </w:p>
        </w:tc>
        <w:tc>
          <w:tcPr>
            <w:tcW w:w="2231" w:type="dxa"/>
            <w:vAlign w:val="center"/>
          </w:tcPr>
          <w:p w14:paraId="2D210FEF">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报价内容</w:t>
            </w:r>
          </w:p>
        </w:tc>
        <w:tc>
          <w:tcPr>
            <w:tcW w:w="720" w:type="dxa"/>
            <w:vAlign w:val="center"/>
          </w:tcPr>
          <w:p w14:paraId="53B2B60C">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1356" w:type="dxa"/>
            <w:vAlign w:val="center"/>
          </w:tcPr>
          <w:p w14:paraId="3D76C08F">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首次报价</w:t>
            </w:r>
          </w:p>
          <w:p w14:paraId="153D5302">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下浮率</w:t>
            </w:r>
          </w:p>
        </w:tc>
        <w:tc>
          <w:tcPr>
            <w:tcW w:w="1155" w:type="dxa"/>
            <w:vAlign w:val="center"/>
          </w:tcPr>
          <w:p w14:paraId="798BDE17">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服务期</w:t>
            </w:r>
          </w:p>
        </w:tc>
        <w:tc>
          <w:tcPr>
            <w:tcW w:w="1534" w:type="dxa"/>
            <w:shd w:val="clear" w:color="auto" w:fill="auto"/>
            <w:vAlign w:val="center"/>
          </w:tcPr>
          <w:p w14:paraId="2BB88EE2">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w:t>
            </w:r>
            <w:r>
              <w:rPr>
                <w:rFonts w:hint="eastAsia" w:ascii="宋体" w:hAnsi="宋体" w:eastAsia="宋体" w:cs="宋体"/>
                <w:sz w:val="24"/>
                <w:szCs w:val="24"/>
                <w:highlight w:val="none"/>
                <w:lang w:val="en-US" w:eastAsia="zh-CN"/>
              </w:rPr>
              <w:t>负责人</w:t>
            </w:r>
          </w:p>
          <w:p w14:paraId="27CA3A78">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执业证书信息</w:t>
            </w:r>
          </w:p>
        </w:tc>
        <w:tc>
          <w:tcPr>
            <w:tcW w:w="865" w:type="dxa"/>
            <w:vAlign w:val="center"/>
          </w:tcPr>
          <w:p w14:paraId="5BDA3034">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备注</w:t>
            </w:r>
          </w:p>
        </w:tc>
      </w:tr>
      <w:tr w14:paraId="6A0D6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55" w:hRule="atLeast"/>
          <w:jc w:val="center"/>
        </w:trPr>
        <w:tc>
          <w:tcPr>
            <w:tcW w:w="643" w:type="dxa"/>
            <w:vAlign w:val="center"/>
          </w:tcPr>
          <w:p w14:paraId="723CE452">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231" w:type="dxa"/>
            <w:vAlign w:val="center"/>
          </w:tcPr>
          <w:p w14:paraId="5668FEAD">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上海儿童医学中心福建医院——国家区域医疗中心建设项目（二期）方案及初步设计</w:t>
            </w:r>
          </w:p>
        </w:tc>
        <w:tc>
          <w:tcPr>
            <w:tcW w:w="720" w:type="dxa"/>
            <w:vAlign w:val="center"/>
          </w:tcPr>
          <w:p w14:paraId="16967E76">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p>
        </w:tc>
        <w:tc>
          <w:tcPr>
            <w:tcW w:w="1356" w:type="dxa"/>
            <w:vAlign w:val="center"/>
          </w:tcPr>
          <w:p w14:paraId="337ACED0">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p>
        </w:tc>
        <w:tc>
          <w:tcPr>
            <w:tcW w:w="1155" w:type="dxa"/>
            <w:vAlign w:val="center"/>
          </w:tcPr>
          <w:p w14:paraId="1D6524C2">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方案及初步设计方案通过专家评审后</w:t>
            </w:r>
          </w:p>
        </w:tc>
        <w:tc>
          <w:tcPr>
            <w:tcW w:w="1534" w:type="dxa"/>
            <w:vAlign w:val="center"/>
          </w:tcPr>
          <w:p w14:paraId="642C6FF5">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p>
        </w:tc>
        <w:tc>
          <w:tcPr>
            <w:tcW w:w="865" w:type="dxa"/>
            <w:vAlign w:val="center"/>
          </w:tcPr>
          <w:p w14:paraId="7F826184">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p>
        </w:tc>
      </w:tr>
    </w:tbl>
    <w:p w14:paraId="004D4F1B">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p>
    <w:p w14:paraId="20F76721">
      <w:pPr>
        <w:pStyle w:val="2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val="en-US" w:eastAsia="zh-CN"/>
        </w:rPr>
        <w:t>说明：</w:t>
      </w:r>
      <w:r>
        <w:rPr>
          <w:rFonts w:hint="eastAsia" w:ascii="宋体" w:hAnsi="宋体" w:eastAsia="宋体" w:cs="宋体"/>
          <w:sz w:val="24"/>
          <w:szCs w:val="24"/>
          <w:highlight w:val="none"/>
        </w:rPr>
        <w:t>本项目</w:t>
      </w:r>
      <w:r>
        <w:rPr>
          <w:rFonts w:hint="eastAsia" w:ascii="宋体" w:hAnsi="宋体" w:eastAsia="宋体" w:cs="宋体"/>
          <w:sz w:val="24"/>
          <w:szCs w:val="24"/>
          <w:highlight w:val="none"/>
          <w:lang w:val="en-US" w:eastAsia="zh-CN"/>
        </w:rPr>
        <w:t>以</w:t>
      </w:r>
      <w:r>
        <w:rPr>
          <w:rFonts w:hint="eastAsia" w:ascii="宋体" w:hAnsi="宋体" w:eastAsia="宋体" w:cs="宋体"/>
          <w:sz w:val="24"/>
          <w:szCs w:val="24"/>
          <w:highlight w:val="none"/>
        </w:rPr>
        <w:t>“下浮率”</w:t>
      </w:r>
      <w:r>
        <w:rPr>
          <w:rFonts w:hint="eastAsia" w:ascii="宋体" w:hAnsi="宋体" w:eastAsia="宋体" w:cs="宋体"/>
          <w:sz w:val="24"/>
          <w:szCs w:val="24"/>
          <w:highlight w:val="none"/>
          <w:lang w:val="en-US" w:eastAsia="zh-CN"/>
        </w:rPr>
        <w:t>方式</w:t>
      </w:r>
      <w:r>
        <w:rPr>
          <w:rFonts w:hint="eastAsia" w:ascii="宋体" w:hAnsi="宋体" w:eastAsia="宋体" w:cs="宋体"/>
          <w:sz w:val="24"/>
          <w:szCs w:val="24"/>
          <w:highlight w:val="none"/>
        </w:rPr>
        <w:t>进行报价。下浮率计算过程保留小数点后两位数</w:t>
      </w:r>
      <w:r>
        <w:rPr>
          <w:rFonts w:hint="eastAsia" w:ascii="宋体" w:hAnsi="宋体" w:eastAsia="宋体" w:cs="宋体"/>
          <w:sz w:val="24"/>
          <w:szCs w:val="24"/>
          <w:highlight w:val="none"/>
          <w:lang w:val="en-US" w:eastAsia="zh-CN"/>
        </w:rPr>
        <w:t>(如</w:t>
      </w:r>
      <w:r>
        <w:rPr>
          <w:rFonts w:hint="eastAsia" w:ascii="宋体" w:hAnsi="宋体" w:eastAsia="宋体" w:cs="宋体"/>
          <w:sz w:val="24"/>
          <w:szCs w:val="24"/>
          <w:highlight w:val="none"/>
        </w:rPr>
        <w:t>10.00%</w:t>
      </w:r>
      <w:r>
        <w:rPr>
          <w:rFonts w:hint="eastAsia" w:ascii="宋体" w:hAnsi="宋体" w:eastAsia="宋体" w:cs="宋体"/>
          <w:sz w:val="24"/>
          <w:szCs w:val="24"/>
          <w:highlight w:val="none"/>
          <w:lang w:val="en-US" w:eastAsia="zh-CN"/>
        </w:rPr>
        <w:t>)。结算计算公式</w:t>
      </w:r>
      <w:r>
        <w:rPr>
          <w:rFonts w:hint="eastAsia" w:ascii="宋体" w:hAnsi="宋体" w:eastAsia="宋体" w:cs="宋体"/>
          <w:sz w:val="24"/>
          <w:szCs w:val="24"/>
          <w:highlight w:val="none"/>
        </w:rPr>
        <w:t>：</w:t>
      </w:r>
      <w:r>
        <w:rPr>
          <w:rFonts w:hint="eastAsia" w:ascii="宋体" w:hAnsi="宋体" w:cs="宋体"/>
          <w:b w:val="0"/>
          <w:bCs w:val="0"/>
          <w:sz w:val="24"/>
          <w:szCs w:val="24"/>
          <w:highlight w:val="none"/>
          <w:lang w:val="en-US" w:eastAsia="zh-CN"/>
        </w:rPr>
        <w:t>最终结算金额</w:t>
      </w:r>
      <w:r>
        <w:rPr>
          <w:rFonts w:hint="eastAsia" w:ascii="宋体" w:hAnsi="宋体" w:eastAsia="宋体" w:cs="宋体"/>
          <w:sz w:val="24"/>
          <w:szCs w:val="24"/>
          <w:highlight w:val="none"/>
        </w:rPr>
        <w:t>=采购人审计部门审核后出具</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rPr>
        <w:t>审计报告×（1-报价下浮率）</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报价下浮率作为实际价格结算的依据，最终总的结算金额不超过预算金额。</w:t>
      </w:r>
    </w:p>
    <w:p w14:paraId="685DBF0F">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lang w:val="en-US" w:eastAsia="zh-CN"/>
        </w:rPr>
      </w:pPr>
    </w:p>
    <w:p w14:paraId="1CC1B26D">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p>
    <w:p w14:paraId="49DBB649">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代表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（签字）</w:t>
      </w:r>
    </w:p>
    <w:p w14:paraId="68DF4632">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（全称并加盖公章）</w:t>
      </w:r>
    </w:p>
    <w:p w14:paraId="1A111185">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日</w:t>
      </w:r>
    </w:p>
    <w:p w14:paraId="709E19EA">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br w:type="page"/>
      </w:r>
    </w:p>
    <w:p w14:paraId="28348365">
      <w:pPr>
        <w:pStyle w:val="28"/>
        <w:pageBreakBefore w:val="0"/>
        <w:kinsoku/>
        <w:wordWrap/>
        <w:overflowPunct/>
        <w:topLinePunct w:val="0"/>
        <w:bidi w:val="0"/>
        <w:spacing w:line="400" w:lineRule="exact"/>
        <w:jc w:val="center"/>
        <w:textAlignment w:val="auto"/>
        <w:outlineLvl w:val="2"/>
        <w:rPr>
          <w:sz w:val="28"/>
          <w:szCs w:val="28"/>
          <w:highlight w:val="none"/>
        </w:rPr>
      </w:pPr>
      <w:r>
        <w:rPr>
          <w:b/>
          <w:sz w:val="28"/>
          <w:szCs w:val="28"/>
          <w:highlight w:val="none"/>
        </w:rPr>
        <w:t>附件3 资格证明文件</w:t>
      </w:r>
    </w:p>
    <w:p w14:paraId="341B5A34">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附件3-1 参加竞争性磋商的声明函（若有）</w:t>
      </w:r>
    </w:p>
    <w:p w14:paraId="58B27CD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p>
    <w:p w14:paraId="1E8EC41C">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5A01F48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1、关于贵方</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日项目（项目编号: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）的采购公告（或采购邀请），本签字人代表</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参加竞争性磋商，我方提供竞争性磋商文件中规定的相应资料和说明。本签字人确认响应文件中所有提交的文件、声明或资料（包括但不限于资格证明文件）是真实的、合法的、准确的、有效的。</w:t>
      </w:r>
    </w:p>
    <w:p w14:paraId="1BDDA44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的基本概况：</w:t>
      </w:r>
    </w:p>
    <w:p w14:paraId="4D3BD9B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单位名称：</w:t>
      </w:r>
      <w:r>
        <w:rPr>
          <w:rFonts w:hint="eastAsia" w:ascii="宋体" w:hAnsi="宋体" w:eastAsia="宋体" w:cs="宋体"/>
          <w:sz w:val="24"/>
          <w:szCs w:val="24"/>
          <w:highlight w:val="none"/>
          <w:u w:val="single"/>
        </w:rPr>
        <w:t xml:space="preserve">           　　 　　 　　</w:t>
      </w:r>
    </w:p>
    <w:p w14:paraId="6A97164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2.2注册地址：</w:t>
      </w:r>
      <w:r>
        <w:rPr>
          <w:rFonts w:hint="eastAsia" w:ascii="宋体" w:hAnsi="宋体" w:eastAsia="宋体" w:cs="宋体"/>
          <w:sz w:val="24"/>
          <w:szCs w:val="24"/>
          <w:highlight w:val="none"/>
          <w:u w:val="single"/>
        </w:rPr>
        <w:t xml:space="preserve">           　　 　　 　　 　　</w:t>
      </w:r>
    </w:p>
    <w:p w14:paraId="1D3F603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2.3单位负责人姓名：</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p>
    <w:p w14:paraId="2598FD4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备注：“单位负责人”指单位法定代表人（</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为法人的）或法律、法规规定代表单位行使职权的主要负责人（</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为其他组织的）。</w:t>
      </w:r>
    </w:p>
    <w:p w14:paraId="321CF1E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对于接受联合体形式的磋商且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是联合体的，则联合体各成员都应当提交本资格证明文件。</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05C26D2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08982DB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　　　　</w:t>
      </w:r>
    </w:p>
    <w:p w14:paraId="780E56A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59210CD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highlight w:val="none"/>
        </w:rPr>
        <w:br w:type="page"/>
      </w:r>
    </w:p>
    <w:p w14:paraId="0E3346BE">
      <w:pPr>
        <w:pStyle w:val="28"/>
        <w:pageBreakBefore w:val="0"/>
        <w:kinsoku/>
        <w:wordWrap/>
        <w:overflowPunct/>
        <w:topLinePunct w:val="0"/>
        <w:bidi w:val="0"/>
        <w:spacing w:line="400" w:lineRule="exact"/>
        <w:jc w:val="center"/>
        <w:textAlignment w:val="auto"/>
        <w:outlineLvl w:val="3"/>
        <w:rPr>
          <w:sz w:val="28"/>
          <w:szCs w:val="28"/>
          <w:highlight w:val="none"/>
        </w:rPr>
      </w:pPr>
      <w:r>
        <w:rPr>
          <w:b/>
          <w:sz w:val="28"/>
          <w:szCs w:val="28"/>
          <w:highlight w:val="none"/>
        </w:rPr>
        <w:t xml:space="preserve">附件3-2 </w:t>
      </w:r>
      <w:r>
        <w:rPr>
          <w:rFonts w:hint="eastAsia"/>
          <w:b/>
          <w:sz w:val="28"/>
          <w:szCs w:val="28"/>
          <w:highlight w:val="none"/>
          <w:lang w:eastAsia="zh-CN"/>
        </w:rPr>
        <w:t>投标人</w:t>
      </w:r>
      <w:r>
        <w:rPr>
          <w:b/>
          <w:sz w:val="28"/>
          <w:szCs w:val="28"/>
          <w:highlight w:val="none"/>
        </w:rPr>
        <w:t>的资格声明</w:t>
      </w:r>
    </w:p>
    <w:p w14:paraId="0ABB7D1D">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3533A3C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1、我方已知晓竞争性磋商文件要求并认真审核自身情况，在此郑重声明，我方具备并满足下列各项条款的规定。本声明如有虚假或不实之处，我方将失去合格</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资格且我方的磋商保证金将不予退还。</w:t>
      </w:r>
    </w:p>
    <w:tbl>
      <w:tblPr>
        <w:tblStyle w:val="18"/>
        <w:tblW w:w="854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66"/>
        <w:gridCol w:w="2475"/>
      </w:tblGrid>
      <w:tr w14:paraId="2F698A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6066" w:type="dxa"/>
            <w:vAlign w:val="center"/>
          </w:tcPr>
          <w:p w14:paraId="7C218EE4">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《中华人民共和国政府采购法》第二十二条对</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的要求</w:t>
            </w:r>
          </w:p>
        </w:tc>
        <w:tc>
          <w:tcPr>
            <w:tcW w:w="2475" w:type="dxa"/>
            <w:vAlign w:val="center"/>
          </w:tcPr>
          <w:p w14:paraId="6295A9C5">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对是否符合要求做如实声明</w:t>
            </w:r>
          </w:p>
        </w:tc>
      </w:tr>
      <w:tr w14:paraId="72E50C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tcPr>
          <w:p w14:paraId="425BEE3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（1）具有独立承担民事责任的能力</w:t>
            </w:r>
          </w:p>
        </w:tc>
        <w:tc>
          <w:tcPr>
            <w:tcW w:w="2475" w:type="dxa"/>
          </w:tcPr>
          <w:p w14:paraId="5AD690BD">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57DE38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tcPr>
          <w:p w14:paraId="2A3F6D8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（2）具有良好的商业信誉和健全的财务会计制度</w:t>
            </w:r>
          </w:p>
        </w:tc>
        <w:tc>
          <w:tcPr>
            <w:tcW w:w="2475" w:type="dxa"/>
          </w:tcPr>
          <w:p w14:paraId="7B92C60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651AD9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tcPr>
          <w:p w14:paraId="7A04FE3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（3）具有履行合同所必需的设备和专业技术能力</w:t>
            </w:r>
          </w:p>
        </w:tc>
        <w:tc>
          <w:tcPr>
            <w:tcW w:w="2475" w:type="dxa"/>
          </w:tcPr>
          <w:p w14:paraId="7CDA6C4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6395BE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tcPr>
          <w:p w14:paraId="7EDBF76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（4）有依法缴纳税收和社会保障资金的良好记录</w:t>
            </w:r>
          </w:p>
        </w:tc>
        <w:tc>
          <w:tcPr>
            <w:tcW w:w="2475" w:type="dxa"/>
          </w:tcPr>
          <w:p w14:paraId="72AB9DE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4751F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tcPr>
          <w:p w14:paraId="7A72A984">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（5）参加政府采购活动前三年内，在经营活动中没有重大违法记录</w:t>
            </w:r>
          </w:p>
        </w:tc>
        <w:tc>
          <w:tcPr>
            <w:tcW w:w="2475" w:type="dxa"/>
          </w:tcPr>
          <w:p w14:paraId="3A8842F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1B2154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tcPr>
          <w:p w14:paraId="612D3F6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（6）法律、行政法规规定的其他条件。</w:t>
            </w:r>
          </w:p>
        </w:tc>
        <w:tc>
          <w:tcPr>
            <w:tcW w:w="2475" w:type="dxa"/>
          </w:tcPr>
          <w:p w14:paraId="47C8422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196EEC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vAlign w:val="center"/>
          </w:tcPr>
          <w:p w14:paraId="12EE6B13">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磋商文件对合格</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的一般规定</w:t>
            </w:r>
          </w:p>
        </w:tc>
        <w:tc>
          <w:tcPr>
            <w:tcW w:w="2475" w:type="dxa"/>
            <w:vAlign w:val="center"/>
          </w:tcPr>
          <w:p w14:paraId="63B0F3E1">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对是否违反一般规定做如实声明</w:t>
            </w:r>
          </w:p>
        </w:tc>
      </w:tr>
      <w:tr w14:paraId="738E9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tcPr>
          <w:p w14:paraId="5A89945C">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除了应遵守政府采购法及实施条例、政府采购非招标采购方式管理办法及财政部、福建省财政厅有关政府采购文件的规定外，还应遵守有关法律、法规和规章的强制性规定。</w:t>
            </w:r>
          </w:p>
        </w:tc>
        <w:tc>
          <w:tcPr>
            <w:tcW w:w="2475" w:type="dxa"/>
          </w:tcPr>
          <w:p w14:paraId="1F2A964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3EDC12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tcPr>
          <w:p w14:paraId="685E0A2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为采购项目提供整体设计、规范编制或项目管理、监理、检测等服务的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，不得再参加该采购项目除整体设计、规范编制和项目管理、监理、检测等服务之外的其他采购活动。</w:t>
            </w:r>
          </w:p>
        </w:tc>
        <w:tc>
          <w:tcPr>
            <w:tcW w:w="2475" w:type="dxa"/>
          </w:tcPr>
          <w:p w14:paraId="223FE14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4AEA87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066" w:type="dxa"/>
          </w:tcPr>
          <w:p w14:paraId="3D6492E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列入失信被执行人、重大税收违法案件当事人名单、政府采购严重违法失信行为记录名单的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，不得参加政府采购活动。</w:t>
            </w:r>
          </w:p>
        </w:tc>
        <w:tc>
          <w:tcPr>
            <w:tcW w:w="2475" w:type="dxa"/>
          </w:tcPr>
          <w:p w14:paraId="235222A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bl>
    <w:p w14:paraId="0E52FD3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2、我方对上述声明的真实性、合法性、准确性、有效性负责，并愿意根据磋商文件和磋商过程中贵方要求提供全部现有资料、数据、文件等予以证实。</w:t>
      </w:r>
    </w:p>
    <w:p w14:paraId="30E86C7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备注：对于接受联合体形式的磋商且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是联合体的，则联合体各成员都应当提交本资格证明文件。</w:t>
      </w:r>
    </w:p>
    <w:p w14:paraId="5532B55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787A44E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　　　　</w:t>
      </w:r>
    </w:p>
    <w:p w14:paraId="3210917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09D9A0B7">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3"/>
        <w:rPr>
          <w:sz w:val="28"/>
          <w:szCs w:val="28"/>
          <w:highlight w:val="none"/>
        </w:rPr>
      </w:pPr>
      <w:r>
        <w:rPr>
          <w:b/>
          <w:sz w:val="28"/>
          <w:szCs w:val="28"/>
          <w:highlight w:val="none"/>
        </w:rPr>
        <w:t>附件3-3 单位负责人授权书</w:t>
      </w:r>
    </w:p>
    <w:p w14:paraId="34DD854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568BD32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我方的单位负责人</w:t>
      </w:r>
      <w:r>
        <w:rPr>
          <w:rFonts w:hint="eastAsia" w:ascii="宋体" w:hAnsi="宋体" w:eastAsia="宋体" w:cs="宋体"/>
          <w:sz w:val="24"/>
          <w:szCs w:val="24"/>
          <w:highlight w:val="none"/>
          <w:u w:val="single"/>
        </w:rPr>
        <w:t xml:space="preserve">（填写“单位负责人全名”） </w:t>
      </w:r>
      <w:r>
        <w:rPr>
          <w:rFonts w:hint="eastAsia" w:ascii="宋体" w:hAnsi="宋体" w:eastAsia="宋体" w:cs="宋体"/>
          <w:sz w:val="24"/>
          <w:szCs w:val="24"/>
          <w:highlight w:val="none"/>
        </w:rPr>
        <w:t>授权</w:t>
      </w:r>
      <w:r>
        <w:rPr>
          <w:rFonts w:hint="eastAsia" w:ascii="宋体" w:hAnsi="宋体" w:eastAsia="宋体" w:cs="宋体"/>
          <w:sz w:val="24"/>
          <w:szCs w:val="24"/>
          <w:highlight w:val="none"/>
          <w:u w:val="single"/>
        </w:rPr>
        <w:t>（填写“</w:t>
      </w:r>
      <w:r>
        <w:rPr>
          <w:rFonts w:hint="eastAsia" w:ascii="宋体" w:hAnsi="宋体" w:eastAsia="宋体" w:cs="宋体"/>
          <w:sz w:val="24"/>
          <w:szCs w:val="24"/>
          <w:highlight w:val="none"/>
          <w:u w:val="single"/>
          <w:lang w:eastAsia="zh-CN"/>
        </w:rPr>
        <w:t>投标人</w:t>
      </w:r>
      <w:r>
        <w:rPr>
          <w:rFonts w:hint="eastAsia" w:ascii="宋体" w:hAnsi="宋体" w:eastAsia="宋体" w:cs="宋体"/>
          <w:sz w:val="24"/>
          <w:szCs w:val="24"/>
          <w:highlight w:val="none"/>
          <w:u w:val="single"/>
        </w:rPr>
        <w:t>代表全名”）</w:t>
      </w:r>
      <w:r>
        <w:rPr>
          <w:rFonts w:hint="eastAsia" w:ascii="宋体" w:hAnsi="宋体" w:eastAsia="宋体" w:cs="宋体"/>
          <w:sz w:val="24"/>
          <w:szCs w:val="24"/>
          <w:highlight w:val="none"/>
        </w:rPr>
        <w:t>为我方的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代表，代表我方参加</w:t>
      </w:r>
      <w:r>
        <w:rPr>
          <w:rFonts w:hint="eastAsia" w:ascii="宋体" w:hAnsi="宋体" w:eastAsia="宋体" w:cs="宋体"/>
          <w:sz w:val="24"/>
          <w:szCs w:val="24"/>
          <w:highlight w:val="none"/>
          <w:u w:val="single"/>
        </w:rPr>
        <w:t>（填写“项目名称”）</w:t>
      </w:r>
      <w:r>
        <w:rPr>
          <w:rFonts w:hint="eastAsia" w:ascii="宋体" w:hAnsi="宋体" w:eastAsia="宋体" w:cs="宋体"/>
          <w:sz w:val="24"/>
          <w:szCs w:val="24"/>
          <w:highlight w:val="none"/>
        </w:rPr>
        <w:t>项目（项目编号：</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）的响应磋商，全权代表我方处理响应磋商过程的一切事宜，包括但不限于：递交响应文件、参与磋商、澄清、签约等工作。</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代表在响应磋商过程中所签署的一切文件和处理与之有关的一切事务，我方均予以认可并对此承担责任。</w:t>
      </w:r>
    </w:p>
    <w:p w14:paraId="6DEA7F0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代表无转委权。特此授权。</w:t>
      </w:r>
    </w:p>
    <w:p w14:paraId="37E0FF23">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（以下无正文）</w:t>
      </w:r>
    </w:p>
    <w:p w14:paraId="1394025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单位负责人：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身份证号：</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手机：</w:t>
      </w:r>
      <w:r>
        <w:rPr>
          <w:rFonts w:hint="eastAsia" w:ascii="宋体" w:hAnsi="宋体" w:eastAsia="宋体" w:cs="宋体"/>
          <w:sz w:val="24"/>
          <w:szCs w:val="24"/>
          <w:highlight w:val="none"/>
          <w:u w:val="single"/>
        </w:rPr>
        <w:t>　　　　　</w:t>
      </w:r>
    </w:p>
    <w:p w14:paraId="58AC908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身份证号：</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手机：</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br w:type="textWrapping"/>
      </w:r>
    </w:p>
    <w:p w14:paraId="0949214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授权方</w:t>
      </w:r>
    </w:p>
    <w:p w14:paraId="3C206DF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（全称并加盖单位公章）</w:t>
      </w:r>
    </w:p>
    <w:p w14:paraId="29E899A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单位负责人签字或盖章：</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br w:type="textWrapping"/>
      </w:r>
    </w:p>
    <w:p w14:paraId="4DDE4BD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接受授权方</w:t>
      </w:r>
    </w:p>
    <w:p w14:paraId="60B029B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代表签字：</w:t>
      </w:r>
      <w:r>
        <w:rPr>
          <w:rFonts w:hint="eastAsia" w:ascii="宋体" w:hAnsi="宋体" w:eastAsia="宋体" w:cs="宋体"/>
          <w:sz w:val="24"/>
          <w:szCs w:val="24"/>
          <w:highlight w:val="none"/>
          <w:u w:val="single"/>
        </w:rPr>
        <w:t>　　　　　　　　　　</w:t>
      </w:r>
    </w:p>
    <w:p w14:paraId="7EA5C277">
      <w:pPr>
        <w:pStyle w:val="28"/>
        <w:keepNext w:val="0"/>
        <w:keepLines w:val="0"/>
        <w:pageBreakBefore w:val="0"/>
        <w:widowControl/>
        <w:kinsoku/>
        <w:wordWrap/>
        <w:overflowPunct/>
        <w:topLinePunct w:val="0"/>
        <w:autoSpaceDE/>
        <w:autoSpaceDN/>
        <w:bidi w:val="0"/>
        <w:adjustRightInd/>
        <w:snapToGrid/>
        <w:spacing w:line="400" w:lineRule="exact"/>
        <w:ind w:firstLine="480"/>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签署日期：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56E6551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附：单位负责人、</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代表的身份证正反面复印件</w:t>
      </w:r>
    </w:p>
    <w:p w14:paraId="22FFD477">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要求：真实、有效、清晰</w:t>
      </w:r>
    </w:p>
    <w:p w14:paraId="2F320DD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w:t>
      </w:r>
    </w:p>
    <w:p w14:paraId="330710C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1、企业（银行、保险、石油石化、电力、电信等行业除外）、事业单位和社会团体法人的“单位负责人”指法定代表人，即与实际提交的“营业执照等证明文件”载明的一致。</w:t>
      </w:r>
    </w:p>
    <w:p w14:paraId="41FFC9C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银行、保险、石油石化、电力、电信等行业：以法人身份参加磋商的，“单位负责人”指法定代表人，即与实际提交的“营业执照等证明文件”载明的一致；以非法人身份参加磋商的，“单位负责人”指代表单位行使职权的主要负责人，即与实际提交的“营业执照等证明文件”载明的一致。</w:t>
      </w:r>
    </w:p>
    <w:p w14:paraId="6043AEA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3、负责响应文件签字的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代表如果不是上述规定的单位负责人，则</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应当在响应文件中提供本授权书，纸质响应文件正本中的本授权书应为原件。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为自然人的，可不填写本授权书，但应当提供其身份证正反面复印件。</w:t>
      </w:r>
    </w:p>
    <w:p w14:paraId="088734E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4、对于接受联合体形式的磋商且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是联合体的，则只需要联合体的牵头方提交本授权书，在纸质响应文件正本中的本授权书应为原件</w:t>
      </w:r>
    </w:p>
    <w:p w14:paraId="28BC31D0">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highlight w:val="none"/>
        </w:rPr>
        <w:br w:type="page"/>
      </w:r>
    </w:p>
    <w:p w14:paraId="01ED3BD2">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3"/>
        <w:rPr>
          <w:b/>
          <w:sz w:val="28"/>
          <w:szCs w:val="28"/>
          <w:highlight w:val="none"/>
        </w:rPr>
      </w:pPr>
      <w:r>
        <w:rPr>
          <w:b/>
          <w:sz w:val="28"/>
          <w:szCs w:val="28"/>
          <w:highlight w:val="none"/>
        </w:rPr>
        <w:t>附件3-4 证明材料</w:t>
      </w:r>
    </w:p>
    <w:p w14:paraId="76130B50">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注：根据采购文件须知前附表第1项号的“（2）特定资格条件”要求，允许</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采用资格承诺制的，可提供符合要求的3-4-1资格承诺函，视为满足采购文件的资格要求，</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根据响应文件格式3-4-1、3-4-2提供其中一种证明材料，若重复提供导致的不利后果，由</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自行负责。</w:t>
      </w:r>
    </w:p>
    <w:p w14:paraId="21E4A17A">
      <w:pPr>
        <w:pStyle w:val="28"/>
        <w:pageBreakBefore w:val="0"/>
        <w:kinsoku/>
        <w:wordWrap/>
        <w:overflowPunct/>
        <w:topLinePunct w:val="0"/>
        <w:bidi w:val="0"/>
        <w:spacing w:line="400" w:lineRule="exact"/>
        <w:jc w:val="center"/>
        <w:textAlignment w:val="auto"/>
        <w:outlineLvl w:val="3"/>
        <w:rPr>
          <w:highlight w:val="none"/>
        </w:rPr>
      </w:pPr>
      <w:r>
        <w:rPr>
          <w:b/>
          <w:sz w:val="28"/>
          <w:highlight w:val="none"/>
        </w:rPr>
        <w:t>附件3-4-1 福建省政府采购</w:t>
      </w:r>
      <w:r>
        <w:rPr>
          <w:rFonts w:hint="eastAsia"/>
          <w:b/>
          <w:sz w:val="28"/>
          <w:highlight w:val="none"/>
          <w:lang w:eastAsia="zh-CN"/>
        </w:rPr>
        <w:t>投标人</w:t>
      </w:r>
      <w:r>
        <w:rPr>
          <w:b/>
          <w:sz w:val="28"/>
          <w:highlight w:val="none"/>
        </w:rPr>
        <w:t>资格承诺函</w:t>
      </w:r>
    </w:p>
    <w:p w14:paraId="4535E29A">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0A2381E5">
      <w:pPr>
        <w:pStyle w:val="28"/>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单位名称(自然人姓名)</w:t>
      </w:r>
      <w:r>
        <w:rPr>
          <w:rFonts w:hint="eastAsia" w:ascii="宋体" w:hAnsi="宋体" w:eastAsia="宋体" w:cs="宋体"/>
          <w:sz w:val="24"/>
          <w:szCs w:val="24"/>
          <w:highlight w:val="none"/>
          <w:lang w:eastAsia="zh-CN"/>
        </w:rPr>
        <w:t>：</w:t>
      </w:r>
    </w:p>
    <w:p w14:paraId="78067DB4">
      <w:pPr>
        <w:pStyle w:val="28"/>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统一社会信用代码(自然人身份证号码)</w:t>
      </w:r>
      <w:r>
        <w:rPr>
          <w:rFonts w:hint="eastAsia" w:ascii="宋体" w:hAnsi="宋体" w:eastAsia="宋体" w:cs="宋体"/>
          <w:sz w:val="24"/>
          <w:szCs w:val="24"/>
          <w:highlight w:val="none"/>
          <w:lang w:eastAsia="zh-CN"/>
        </w:rPr>
        <w:t>：</w:t>
      </w:r>
    </w:p>
    <w:p w14:paraId="0744F0A5">
      <w:pPr>
        <w:pStyle w:val="28"/>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法定代表人(负责人)</w:t>
      </w:r>
      <w:r>
        <w:rPr>
          <w:rFonts w:hint="eastAsia" w:ascii="宋体" w:hAnsi="宋体" w:eastAsia="宋体" w:cs="宋体"/>
          <w:sz w:val="24"/>
          <w:szCs w:val="24"/>
          <w:highlight w:val="none"/>
          <w:lang w:eastAsia="zh-CN"/>
        </w:rPr>
        <w:t>：</w:t>
      </w:r>
    </w:p>
    <w:p w14:paraId="2EFD4BE3">
      <w:pPr>
        <w:pStyle w:val="28"/>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联系地址和电话</w:t>
      </w:r>
      <w:r>
        <w:rPr>
          <w:rFonts w:hint="eastAsia" w:ascii="宋体" w:hAnsi="宋体" w:eastAsia="宋体" w:cs="宋体"/>
          <w:sz w:val="24"/>
          <w:szCs w:val="24"/>
          <w:highlight w:val="none"/>
          <w:lang w:eastAsia="zh-CN"/>
        </w:rPr>
        <w:t>：</w:t>
      </w:r>
    </w:p>
    <w:p w14:paraId="58F0652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我单位(本人)自愿参加本次政府采购活动，严格遵守《中华人民共和国政府采购法》及相关法律法规，坚守公开、公平公正和诚实信用等原则，依法诚信经营，并郑重承诺</w:t>
      </w:r>
      <w:r>
        <w:rPr>
          <w:rFonts w:hint="eastAsia" w:ascii="宋体" w:hAnsi="宋体" w:eastAsia="宋体" w:cs="宋体"/>
          <w:sz w:val="24"/>
          <w:szCs w:val="24"/>
          <w:highlight w:val="none"/>
          <w:lang w:eastAsia="zh-CN"/>
        </w:rPr>
        <w:t>：</w:t>
      </w:r>
    </w:p>
    <w:p w14:paraId="2D75BCE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一、我单位(本人)具备采购文件要求以及《中华人民共和国政府采购法》第二十二条规定的条件</w:t>
      </w:r>
      <w:r>
        <w:rPr>
          <w:rFonts w:hint="eastAsia" w:ascii="宋体" w:hAnsi="宋体" w:eastAsia="宋体" w:cs="宋体"/>
          <w:sz w:val="24"/>
          <w:szCs w:val="24"/>
          <w:highlight w:val="none"/>
          <w:lang w:eastAsia="zh-CN"/>
        </w:rPr>
        <w:t>：</w:t>
      </w:r>
    </w:p>
    <w:p w14:paraId="1A7A07D6">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1.具有独立承担民事责任的能力</w:t>
      </w:r>
      <w:r>
        <w:rPr>
          <w:rFonts w:hint="eastAsia" w:ascii="宋体" w:hAnsi="宋体" w:eastAsia="宋体" w:cs="宋体"/>
          <w:sz w:val="24"/>
          <w:szCs w:val="24"/>
          <w:highlight w:val="none"/>
          <w:lang w:eastAsia="zh-CN"/>
        </w:rPr>
        <w:t>；</w:t>
      </w:r>
    </w:p>
    <w:p w14:paraId="578C7C5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2.具有良好的商业信誉和健全的财务会计制度</w:t>
      </w:r>
      <w:r>
        <w:rPr>
          <w:rFonts w:hint="eastAsia" w:ascii="宋体" w:hAnsi="宋体" w:eastAsia="宋体" w:cs="宋体"/>
          <w:sz w:val="24"/>
          <w:szCs w:val="24"/>
          <w:highlight w:val="none"/>
          <w:lang w:eastAsia="zh-CN"/>
        </w:rPr>
        <w:t>；</w:t>
      </w:r>
    </w:p>
    <w:p w14:paraId="031B80B9">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3.具有履行合同所必需的设备和专业技术能力</w:t>
      </w:r>
      <w:r>
        <w:rPr>
          <w:rFonts w:hint="eastAsia" w:ascii="宋体" w:hAnsi="宋体" w:eastAsia="宋体" w:cs="宋体"/>
          <w:sz w:val="24"/>
          <w:szCs w:val="24"/>
          <w:highlight w:val="none"/>
          <w:lang w:eastAsia="zh-CN"/>
        </w:rPr>
        <w:t>；</w:t>
      </w:r>
    </w:p>
    <w:p w14:paraId="5833728F">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4.有依法缴纳税收和社会保障资金的良好记录</w:t>
      </w:r>
      <w:r>
        <w:rPr>
          <w:rFonts w:hint="eastAsia" w:ascii="宋体" w:hAnsi="宋体" w:eastAsia="宋体" w:cs="宋体"/>
          <w:sz w:val="24"/>
          <w:szCs w:val="24"/>
          <w:highlight w:val="none"/>
          <w:lang w:eastAsia="zh-CN"/>
        </w:rPr>
        <w:t>；</w:t>
      </w:r>
    </w:p>
    <w:p w14:paraId="6B71C46D">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5.参加政府采购活动前三年内，在经营活动中没有重大违法记录；</w:t>
      </w:r>
    </w:p>
    <w:p w14:paraId="489B0868">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6.法律、行政法规规定的其他条件。</w:t>
      </w:r>
    </w:p>
    <w:p w14:paraId="0CBAB1A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二、不存在违反《中华人民共和国政府采购法实施条例》第十八条规定的“单位负责人为同一人或者存在直接控股、管理关系的不同</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，不得参加同一合同项下的政府采购活动。除单一来源采购项目外，为采购项目提供整体设计、规范编制或者项目管理、监理、检测等服务的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，不得再参加该采购项目的其他采购活动”情形。</w:t>
      </w:r>
    </w:p>
    <w:p w14:paraId="0C11505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328FDD6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p>
    <w:p w14:paraId="65C9262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44E7ED4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　　　　</w:t>
      </w:r>
    </w:p>
    <w:p w14:paraId="412F9C6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1BC07F5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p>
    <w:p w14:paraId="5E78C42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w:t>
      </w:r>
    </w:p>
    <w:p w14:paraId="08BEE8FB">
      <w:pPr>
        <w:pStyle w:val="28"/>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1.我单位(本人)专指参加政府采购活动的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(含自然人)；</w:t>
      </w:r>
    </w:p>
    <w:p w14:paraId="7B84ADCA">
      <w:pPr>
        <w:pStyle w:val="28"/>
        <w:keepNext w:val="0"/>
        <w:keepLines w:val="0"/>
        <w:pageBreakBefore w:val="0"/>
        <w:widowControl/>
        <w:kinsoku/>
        <w:wordWrap/>
        <w:overflowPunct/>
        <w:topLinePunct w:val="0"/>
        <w:autoSpaceDE/>
        <w:autoSpaceDN/>
        <w:bidi w:val="0"/>
        <w:adjustRightInd/>
        <w:snapToGrid/>
        <w:spacing w:line="400" w:lineRule="exact"/>
        <w:ind w:firstLine="96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2.资格承诺的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应在投标(响应)文件中按此模板提供承诺函，否则，视为未按照招标文件规定提交投标人的资格及资信文件，按资格审查不通过处理。</w:t>
      </w:r>
    </w:p>
    <w:p w14:paraId="0897A1E0">
      <w:pPr>
        <w:pageBreakBefore w:val="0"/>
        <w:kinsoku/>
        <w:wordWrap/>
        <w:overflowPunct/>
        <w:topLinePunct w:val="0"/>
        <w:bidi w:val="0"/>
        <w:spacing w:line="400" w:lineRule="exact"/>
        <w:textAlignment w:val="auto"/>
        <w:rPr>
          <w:b/>
          <w:sz w:val="28"/>
          <w:highlight w:val="none"/>
        </w:rPr>
      </w:pPr>
      <w:r>
        <w:rPr>
          <w:b/>
          <w:sz w:val="28"/>
          <w:highlight w:val="none"/>
        </w:rPr>
        <w:br w:type="page"/>
      </w:r>
    </w:p>
    <w:p w14:paraId="07F62E55">
      <w:pPr>
        <w:pStyle w:val="28"/>
        <w:pageBreakBefore w:val="0"/>
        <w:kinsoku/>
        <w:wordWrap/>
        <w:overflowPunct/>
        <w:topLinePunct w:val="0"/>
        <w:bidi w:val="0"/>
        <w:spacing w:line="400" w:lineRule="exact"/>
        <w:jc w:val="center"/>
        <w:textAlignment w:val="auto"/>
        <w:outlineLvl w:val="3"/>
        <w:rPr>
          <w:highlight w:val="none"/>
        </w:rPr>
      </w:pPr>
      <w:r>
        <w:rPr>
          <w:b/>
          <w:sz w:val="28"/>
          <w:highlight w:val="none"/>
        </w:rPr>
        <w:t>附件3-4-2 证明材料</w:t>
      </w:r>
    </w:p>
    <w:p w14:paraId="3B8297E2">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营业执照等证明文件</w:t>
      </w:r>
    </w:p>
    <w:p w14:paraId="634A3C2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79B0DAD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为法人（包括企业、事业单位和社会团体）的</w:t>
      </w:r>
    </w:p>
    <w:p w14:paraId="1623484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现附上由</w:t>
      </w:r>
      <w:r>
        <w:rPr>
          <w:rFonts w:hint="eastAsia" w:ascii="宋体" w:hAnsi="宋体" w:eastAsia="宋体" w:cs="宋体"/>
          <w:sz w:val="24"/>
          <w:szCs w:val="24"/>
          <w:highlight w:val="none"/>
          <w:u w:val="single"/>
        </w:rPr>
        <w:t>（填写“签发机关全称”）</w:t>
      </w:r>
      <w:r>
        <w:rPr>
          <w:rFonts w:hint="eastAsia" w:ascii="宋体" w:hAnsi="宋体" w:eastAsia="宋体" w:cs="宋体"/>
          <w:sz w:val="24"/>
          <w:szCs w:val="24"/>
          <w:highlight w:val="none"/>
        </w:rPr>
        <w:t>签发的我方统一社会信用代码</w:t>
      </w:r>
      <w:r>
        <w:rPr>
          <w:rFonts w:hint="eastAsia" w:ascii="宋体" w:hAnsi="宋体" w:eastAsia="宋体" w:cs="宋体"/>
          <w:sz w:val="24"/>
          <w:szCs w:val="24"/>
          <w:highlight w:val="none"/>
          <w:u w:val="single"/>
        </w:rPr>
        <w:t>（请填写法人的具体证照名称）</w:t>
      </w:r>
      <w:r>
        <w:rPr>
          <w:rFonts w:hint="eastAsia" w:ascii="宋体" w:hAnsi="宋体" w:eastAsia="宋体" w:cs="宋体"/>
          <w:sz w:val="24"/>
          <w:szCs w:val="24"/>
          <w:highlight w:val="none"/>
        </w:rPr>
        <w:t>复印件，该证明材料真实有效，否则我方负全部责任。</w:t>
      </w:r>
    </w:p>
    <w:p w14:paraId="6BA86DB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为非法人（包括其他组织、自然人）的</w:t>
      </w:r>
    </w:p>
    <w:p w14:paraId="5FC02B2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□现附上由</w:t>
      </w:r>
      <w:r>
        <w:rPr>
          <w:rFonts w:hint="eastAsia" w:ascii="宋体" w:hAnsi="宋体" w:eastAsia="宋体" w:cs="宋体"/>
          <w:sz w:val="24"/>
          <w:szCs w:val="24"/>
          <w:highlight w:val="none"/>
          <w:u w:val="single"/>
        </w:rPr>
        <w:t>（填写“签发机关全称”）</w:t>
      </w:r>
      <w:r>
        <w:rPr>
          <w:rFonts w:hint="eastAsia" w:ascii="宋体" w:hAnsi="宋体" w:eastAsia="宋体" w:cs="宋体"/>
          <w:sz w:val="24"/>
          <w:szCs w:val="24"/>
          <w:highlight w:val="none"/>
        </w:rPr>
        <w:t>签发的我方统一社会信用代码</w:t>
      </w:r>
      <w:r>
        <w:rPr>
          <w:rFonts w:hint="eastAsia" w:ascii="宋体" w:hAnsi="宋体" w:eastAsia="宋体" w:cs="宋体"/>
          <w:sz w:val="24"/>
          <w:szCs w:val="24"/>
          <w:highlight w:val="none"/>
          <w:u w:val="single"/>
        </w:rPr>
        <w:t>（请填写非自然人的非法人的具体证照名称）</w:t>
      </w:r>
      <w:r>
        <w:rPr>
          <w:rFonts w:hint="eastAsia" w:ascii="宋体" w:hAnsi="宋体" w:eastAsia="宋体" w:cs="宋体"/>
          <w:sz w:val="24"/>
          <w:szCs w:val="24"/>
          <w:highlight w:val="none"/>
        </w:rPr>
        <w:t>复印件，该证明材料真实有效，否则我方负全部责任。</w:t>
      </w:r>
    </w:p>
    <w:p w14:paraId="557375E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□现附上由</w:t>
      </w:r>
      <w:r>
        <w:rPr>
          <w:rFonts w:hint="eastAsia" w:ascii="宋体" w:hAnsi="宋体" w:eastAsia="宋体" w:cs="宋体"/>
          <w:sz w:val="24"/>
          <w:szCs w:val="24"/>
          <w:highlight w:val="none"/>
          <w:u w:val="single"/>
        </w:rPr>
        <w:t>（填写“签发机关全称”）</w:t>
      </w:r>
      <w:r>
        <w:rPr>
          <w:rFonts w:hint="eastAsia" w:ascii="宋体" w:hAnsi="宋体" w:eastAsia="宋体" w:cs="宋体"/>
          <w:sz w:val="24"/>
          <w:szCs w:val="24"/>
          <w:highlight w:val="none"/>
        </w:rPr>
        <w:t>签发的我方统一社会信用代码</w:t>
      </w:r>
      <w:r>
        <w:rPr>
          <w:rFonts w:hint="eastAsia" w:ascii="宋体" w:hAnsi="宋体" w:eastAsia="宋体" w:cs="宋体"/>
          <w:sz w:val="24"/>
          <w:szCs w:val="24"/>
          <w:highlight w:val="none"/>
          <w:u w:val="single"/>
        </w:rPr>
        <w:t>（请填写自然人的身份证件名称）</w:t>
      </w:r>
      <w:r>
        <w:rPr>
          <w:rFonts w:hint="eastAsia" w:ascii="宋体" w:hAnsi="宋体" w:eastAsia="宋体" w:cs="宋体"/>
          <w:sz w:val="24"/>
          <w:szCs w:val="24"/>
          <w:highlight w:val="none"/>
        </w:rPr>
        <w:t>复印件，该证明材料真实有效，否则我方负全部责任。</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65BB42A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w:t>
      </w:r>
    </w:p>
    <w:p w14:paraId="3061B65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1、请</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根据实际情况填写，在相应的（）中打“√”并选择相应的“□”（若有）后，再按照本格式的要求提供相应证明材料的复印件。</w:t>
      </w:r>
    </w:p>
    <w:p w14:paraId="5C18D04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为企业的，提供有效的营业执照复印件；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为事业单位的，提供有效的事业单位法人证书复印件；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为社会团体的，提供有效的社会团体法人登记证书复印件；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为合伙企业、个体工商户的，提供有效的营业执照复印件；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为非企业专业服务机构的，提供有效的执业许可证等证明材料复印件；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为自然人的，提供有效的自然人身份证件复印件；其他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应按照有关法律、法规和规章规定，提供有效的相应具体证照复印件。</w:t>
      </w:r>
    </w:p>
    <w:p w14:paraId="2EF6B4B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3、对于接受联合体形式的磋商且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是联合体的，则联合体各成员都应当提交本资格证明文件。</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1BBC455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1631A47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62E70A5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20523FB9">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highlight w:val="none"/>
        </w:rPr>
        <w:br w:type="page"/>
      </w:r>
    </w:p>
    <w:p w14:paraId="6B1FCE18">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财务状况报告</w:t>
      </w:r>
    </w:p>
    <w:p w14:paraId="4142FC4D">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7D8A1AC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提供财务报告的</w:t>
      </w:r>
    </w:p>
    <w:p w14:paraId="49F3233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□企业适用：现附上我方</w:t>
      </w:r>
      <w:r>
        <w:rPr>
          <w:rFonts w:hint="eastAsia" w:ascii="宋体" w:hAnsi="宋体" w:eastAsia="宋体" w:cs="宋体"/>
          <w:sz w:val="24"/>
          <w:szCs w:val="24"/>
          <w:highlight w:val="none"/>
          <w:u w:val="single"/>
        </w:rPr>
        <w:t>（填写“具体的年度、或半年度、或季度”）</w:t>
      </w:r>
      <w:r>
        <w:rPr>
          <w:rFonts w:hint="eastAsia" w:ascii="宋体" w:hAnsi="宋体" w:eastAsia="宋体" w:cs="宋体"/>
          <w:sz w:val="24"/>
          <w:szCs w:val="24"/>
          <w:highlight w:val="none"/>
        </w:rPr>
        <w:t>财务报告复印件，包括资产负债表、利润表、现金流量表、所有者权益变动表及其附注（若有）、会计师事务所营业执照和注册会计师资格证书，上述证明材料真实有效，否则我方负全部责任。</w:t>
      </w:r>
    </w:p>
    <w:p w14:paraId="752B770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□事业单位适用：现附上我方</w:t>
      </w:r>
      <w:r>
        <w:rPr>
          <w:rFonts w:hint="eastAsia" w:ascii="宋体" w:hAnsi="宋体" w:eastAsia="宋体" w:cs="宋体"/>
          <w:sz w:val="24"/>
          <w:szCs w:val="24"/>
          <w:highlight w:val="none"/>
          <w:u w:val="single"/>
        </w:rPr>
        <w:t>（填写“具体的年度、或半年度、或季度”）</w:t>
      </w:r>
      <w:r>
        <w:rPr>
          <w:rFonts w:hint="eastAsia" w:ascii="宋体" w:hAnsi="宋体" w:eastAsia="宋体" w:cs="宋体"/>
          <w:sz w:val="24"/>
          <w:szCs w:val="24"/>
          <w:highlight w:val="none"/>
        </w:rPr>
        <w:t>财务报告复印件，包括资产负债表、收入支出表或收入费用表、财政补助收入支出表（若有）、会计师事务所营业执照和注册会计师资格证书，上述证明材料真实有效，否则我方负全部责任。</w:t>
      </w:r>
    </w:p>
    <w:p w14:paraId="3B8B6C9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□社会团体、民办非企单位适用：现附上我方</w:t>
      </w:r>
      <w:r>
        <w:rPr>
          <w:rFonts w:hint="eastAsia" w:ascii="宋体" w:hAnsi="宋体" w:eastAsia="宋体" w:cs="宋体"/>
          <w:sz w:val="24"/>
          <w:szCs w:val="24"/>
          <w:highlight w:val="none"/>
          <w:u w:val="single"/>
        </w:rPr>
        <w:t>（填写“具体的年度、或半年度、或季度”）</w:t>
      </w:r>
      <w:r>
        <w:rPr>
          <w:rFonts w:hint="eastAsia" w:ascii="宋体" w:hAnsi="宋体" w:eastAsia="宋体" w:cs="宋体"/>
          <w:sz w:val="24"/>
          <w:szCs w:val="24"/>
          <w:highlight w:val="none"/>
        </w:rPr>
        <w:t>财务报告复印件，包括资产负债表、业务活动表、现金流量表、会计师事务所营业执照和注册会计师资格证书，上述证明材料真实有效，否则我方负全部责任。</w:t>
      </w:r>
    </w:p>
    <w:p w14:paraId="691E28B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提供资信证明的</w:t>
      </w:r>
    </w:p>
    <w:p w14:paraId="6BBD1AE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□非自然人适用（包括企业、事业单位、社会团体和其他组织）：现附上我方银行：</w:t>
      </w:r>
      <w:r>
        <w:rPr>
          <w:rFonts w:hint="eastAsia" w:ascii="宋体" w:hAnsi="宋体" w:eastAsia="宋体" w:cs="宋体"/>
          <w:sz w:val="24"/>
          <w:szCs w:val="24"/>
          <w:highlight w:val="none"/>
          <w:u w:val="single"/>
        </w:rPr>
        <w:t>（填写“开户银行全称”）</w:t>
      </w:r>
      <w:r>
        <w:rPr>
          <w:rFonts w:hint="eastAsia" w:ascii="宋体" w:hAnsi="宋体" w:eastAsia="宋体" w:cs="宋体"/>
          <w:sz w:val="24"/>
          <w:szCs w:val="24"/>
          <w:highlight w:val="none"/>
        </w:rPr>
        <w:t>出具的资信证明复印件，上述证明材料真实有效，否则我方负全部责任。</w:t>
      </w:r>
    </w:p>
    <w:p w14:paraId="3282171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□自然人适用（包括企业、事业单位、社会团体和其他组织）：现附上我方银行：</w:t>
      </w:r>
      <w:r>
        <w:rPr>
          <w:rFonts w:hint="eastAsia" w:ascii="宋体" w:hAnsi="宋体" w:eastAsia="宋体" w:cs="宋体"/>
          <w:sz w:val="24"/>
          <w:szCs w:val="24"/>
          <w:highlight w:val="none"/>
          <w:u w:val="single"/>
        </w:rPr>
        <w:t>（填写自然人的“个人账户的开户银行全称”）</w:t>
      </w:r>
      <w:r>
        <w:rPr>
          <w:rFonts w:hint="eastAsia" w:ascii="宋体" w:hAnsi="宋体" w:eastAsia="宋体" w:cs="宋体"/>
          <w:sz w:val="24"/>
          <w:szCs w:val="24"/>
          <w:highlight w:val="none"/>
        </w:rPr>
        <w:t>出具的资信证明复印件，上述证明材料真实有效，否则我方负全部责任。</w:t>
      </w:r>
    </w:p>
    <w:p w14:paraId="142733D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※注意事项：</w:t>
      </w:r>
    </w:p>
    <w:p w14:paraId="672E169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1、请</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按照自身实际情况编制填写，在其中相应的（）中打“√”并选择相应的“□”（若有）后，再按照本格式的要求提供相应证明材料的复印件即可。</w:t>
      </w:r>
    </w:p>
    <w:p w14:paraId="04C75DC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提供的财务报告复印件（成立年限按照首次响应文件递交截止时间推算）应符合下列规定：</w:t>
      </w:r>
    </w:p>
    <w:p w14:paraId="1B887A0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2.1成立年限满1年及以上的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，提供经审计的上一年度的年度财务报告。</w:t>
      </w:r>
    </w:p>
    <w:p w14:paraId="0801215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2.2成立年限满半年但不足1年的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，提供该半年度中任一季度的季度财务报告或该半年度的半年度财务报告。</w:t>
      </w:r>
    </w:p>
    <w:p w14:paraId="61A09A21">
      <w:pPr>
        <w:pStyle w:val="28"/>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※无法按照本格式注意事项第2.1、2.2条规定提供财务报告复印件的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，应按照本格式注意事项的要求选择提供资信证明复印件。</w:t>
      </w:r>
    </w:p>
    <w:p w14:paraId="5CACD6F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3、对于接受联合体形式的磋商且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是联合体的，则联合体各成员都应当提交本资格证明文件。</w:t>
      </w:r>
    </w:p>
    <w:p w14:paraId="3B78BA2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p>
    <w:p w14:paraId="754BE2D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18B6DDF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5215EFF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11E1FE4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highlight w:val="none"/>
        </w:rPr>
        <w:br w:type="page"/>
      </w:r>
    </w:p>
    <w:p w14:paraId="0EC6F52C">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依法缴纳税收证明材料</w:t>
      </w:r>
    </w:p>
    <w:p w14:paraId="48E9ACA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2D1740E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1、依法缴纳税收的</w:t>
      </w:r>
      <w:r>
        <w:rPr>
          <w:rFonts w:hint="eastAsia" w:ascii="宋体" w:hAnsi="宋体" w:eastAsia="宋体" w:cs="宋体"/>
          <w:sz w:val="24"/>
          <w:szCs w:val="24"/>
          <w:highlight w:val="none"/>
          <w:lang w:eastAsia="zh-CN"/>
        </w:rPr>
        <w:t>投标人</w:t>
      </w:r>
    </w:p>
    <w:p w14:paraId="3AE1DE3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）法人（包括企业、事业单位和社会团体）的</w:t>
      </w:r>
    </w:p>
    <w:p w14:paraId="0791F28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现附上自</w:t>
      </w:r>
      <w:r>
        <w:rPr>
          <w:rFonts w:hint="eastAsia" w:ascii="宋体" w:hAnsi="宋体" w:eastAsia="宋体" w:cs="宋体"/>
          <w:sz w:val="24"/>
          <w:szCs w:val="24"/>
          <w:highlight w:val="none"/>
          <w:u w:val="single"/>
        </w:rPr>
        <w:t>　　年　　月　　日</w:t>
      </w:r>
      <w:r>
        <w:rPr>
          <w:rFonts w:hint="eastAsia" w:ascii="宋体" w:hAnsi="宋体" w:eastAsia="宋体" w:cs="宋体"/>
          <w:sz w:val="24"/>
          <w:szCs w:val="24"/>
          <w:highlight w:val="none"/>
        </w:rPr>
        <w:t>至</w:t>
      </w:r>
      <w:r>
        <w:rPr>
          <w:rFonts w:hint="eastAsia" w:ascii="宋体" w:hAnsi="宋体" w:eastAsia="宋体" w:cs="宋体"/>
          <w:sz w:val="24"/>
          <w:szCs w:val="24"/>
          <w:highlight w:val="none"/>
          <w:u w:val="single"/>
        </w:rPr>
        <w:t>　　年　　月　　日</w:t>
      </w:r>
      <w:r>
        <w:rPr>
          <w:rFonts w:hint="eastAsia" w:ascii="宋体" w:hAnsi="宋体" w:eastAsia="宋体" w:cs="宋体"/>
          <w:sz w:val="24"/>
          <w:szCs w:val="24"/>
          <w:highlight w:val="none"/>
        </w:rPr>
        <w:t>期间我方缴纳</w:t>
      </w:r>
      <w:r>
        <w:rPr>
          <w:rFonts w:hint="eastAsia" w:ascii="宋体" w:hAnsi="宋体" w:eastAsia="宋体" w:cs="宋体"/>
          <w:sz w:val="24"/>
          <w:szCs w:val="24"/>
          <w:highlight w:val="none"/>
          <w:u w:val="single"/>
        </w:rPr>
        <w:t>（包括但不限于税务机关出具的专用收据、税收缴纳证明或税收代缴银行的缴款收讫凭证）</w:t>
      </w:r>
      <w:r>
        <w:rPr>
          <w:rFonts w:hint="eastAsia" w:ascii="宋体" w:hAnsi="宋体" w:eastAsia="宋体" w:cs="宋体"/>
          <w:sz w:val="24"/>
          <w:szCs w:val="24"/>
          <w:highlight w:val="none"/>
        </w:rPr>
        <w:t>等税收凭据复印件，上述证明材料真实有效，否则我方负全部责任。</w:t>
      </w:r>
    </w:p>
    <w:p w14:paraId="3692317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）非法人（包括其他组织、自然人）的</w:t>
      </w:r>
    </w:p>
    <w:p w14:paraId="5E3BB54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现附上自</w:t>
      </w:r>
      <w:r>
        <w:rPr>
          <w:rFonts w:hint="eastAsia" w:ascii="宋体" w:hAnsi="宋体" w:eastAsia="宋体" w:cs="宋体"/>
          <w:sz w:val="24"/>
          <w:szCs w:val="24"/>
          <w:highlight w:val="none"/>
          <w:u w:val="single"/>
        </w:rPr>
        <w:t>　　年　　月　　日</w:t>
      </w:r>
      <w:r>
        <w:rPr>
          <w:rFonts w:hint="eastAsia" w:ascii="宋体" w:hAnsi="宋体" w:eastAsia="宋体" w:cs="宋体"/>
          <w:sz w:val="24"/>
          <w:szCs w:val="24"/>
          <w:highlight w:val="none"/>
        </w:rPr>
        <w:t>至</w:t>
      </w:r>
      <w:r>
        <w:rPr>
          <w:rFonts w:hint="eastAsia" w:ascii="宋体" w:hAnsi="宋体" w:eastAsia="宋体" w:cs="宋体"/>
          <w:sz w:val="24"/>
          <w:szCs w:val="24"/>
          <w:highlight w:val="none"/>
          <w:u w:val="single"/>
        </w:rPr>
        <w:t>　　年　　月　　日</w:t>
      </w:r>
      <w:r>
        <w:rPr>
          <w:rFonts w:hint="eastAsia" w:ascii="宋体" w:hAnsi="宋体" w:eastAsia="宋体" w:cs="宋体"/>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2769DEB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2、依法减免税收的</w:t>
      </w:r>
      <w:r>
        <w:rPr>
          <w:rFonts w:hint="eastAsia" w:ascii="宋体" w:hAnsi="宋体" w:eastAsia="宋体" w:cs="宋体"/>
          <w:sz w:val="24"/>
          <w:szCs w:val="24"/>
          <w:highlight w:val="none"/>
          <w:lang w:eastAsia="zh-CN"/>
        </w:rPr>
        <w:t>投标人</w:t>
      </w:r>
    </w:p>
    <w:p w14:paraId="7858995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）现附上我方依法免税证明材料复印件，上述证明材料真实有效，否则我方负全部责任。</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424CBDD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w:t>
      </w:r>
    </w:p>
    <w:p w14:paraId="4A17B54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1、请</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根据实际情况填写，在相应的（）中打“√”，并按照本格式的要求提供相应证明材料的复印件。</w:t>
      </w:r>
    </w:p>
    <w:p w14:paraId="6D361B0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提供的税收凭据复印件应符合下列规定：</w:t>
      </w:r>
    </w:p>
    <w:p w14:paraId="74457A4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2.1首次响应文件递交截止时间前（不含截止时间的当月）已依法缴纳税收的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，提供首次响应文件递交截止时间前六个月（不含截止时间的当月）中任一月份的税收凭据复印件。</w:t>
      </w:r>
    </w:p>
    <w:p w14:paraId="1BB158B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2.2首次响应文件递交截止时间的当月成立的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，视同满足本项资格条件要求。</w:t>
      </w:r>
    </w:p>
    <w:p w14:paraId="2641E35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2.3若为依法免税范围的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，提供依法免税证明材料的，视同满足本项资格条件要求。</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3BD565B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3E59AE5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4017AF2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60B811C3">
      <w:pPr>
        <w:pStyle w:val="28"/>
        <w:pageBreakBefore w:val="0"/>
        <w:kinsoku/>
        <w:wordWrap/>
        <w:overflowPunct/>
        <w:topLinePunct w:val="0"/>
        <w:bidi w:val="0"/>
        <w:spacing w:line="400" w:lineRule="exact"/>
        <w:jc w:val="left"/>
        <w:textAlignment w:val="auto"/>
        <w:rPr>
          <w:highlight w:val="none"/>
        </w:rPr>
      </w:pPr>
      <w:r>
        <w:rPr>
          <w:highlight w:val="none"/>
        </w:rPr>
        <w:t xml:space="preserve"> </w:t>
      </w:r>
      <w:r>
        <w:rPr>
          <w:highlight w:val="none"/>
        </w:rPr>
        <w:br w:type="textWrapping"/>
      </w:r>
      <w:r>
        <w:rPr>
          <w:highlight w:val="none"/>
        </w:rPr>
        <w:br w:type="page"/>
      </w:r>
    </w:p>
    <w:p w14:paraId="7693B730">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依法缴纳社会保障资金证明材料</w:t>
      </w:r>
    </w:p>
    <w:p w14:paraId="13E6346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055FAEF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1、依法缴纳社会保障资金的</w:t>
      </w:r>
      <w:r>
        <w:rPr>
          <w:rFonts w:hint="eastAsia" w:ascii="宋体" w:hAnsi="宋体" w:eastAsia="宋体" w:cs="宋体"/>
          <w:sz w:val="24"/>
          <w:szCs w:val="24"/>
          <w:highlight w:val="none"/>
          <w:lang w:eastAsia="zh-CN"/>
        </w:rPr>
        <w:t>投标人</w:t>
      </w:r>
    </w:p>
    <w:p w14:paraId="56EA586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）法人（包括企业、事业单位和社会团体）的</w:t>
      </w:r>
    </w:p>
    <w:p w14:paraId="6AC57B1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现附上自</w:t>
      </w:r>
      <w:r>
        <w:rPr>
          <w:rFonts w:hint="eastAsia" w:ascii="宋体" w:hAnsi="宋体" w:eastAsia="宋体" w:cs="宋体"/>
          <w:sz w:val="24"/>
          <w:szCs w:val="24"/>
          <w:highlight w:val="none"/>
          <w:u w:val="single"/>
        </w:rPr>
        <w:t>　　年　　月　　日</w:t>
      </w:r>
      <w:r>
        <w:rPr>
          <w:rFonts w:hint="eastAsia" w:ascii="宋体" w:hAnsi="宋体" w:eastAsia="宋体" w:cs="宋体"/>
          <w:sz w:val="24"/>
          <w:szCs w:val="24"/>
          <w:highlight w:val="none"/>
        </w:rPr>
        <w:t>至</w:t>
      </w:r>
      <w:r>
        <w:rPr>
          <w:rFonts w:hint="eastAsia" w:ascii="宋体" w:hAnsi="宋体" w:eastAsia="宋体" w:cs="宋体"/>
          <w:sz w:val="24"/>
          <w:szCs w:val="24"/>
          <w:highlight w:val="none"/>
          <w:u w:val="single"/>
        </w:rPr>
        <w:t>　　年　　月　　日</w:t>
      </w:r>
      <w:r>
        <w:rPr>
          <w:rFonts w:hint="eastAsia" w:ascii="宋体" w:hAnsi="宋体" w:eastAsia="宋体" w:cs="宋体"/>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6365F94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）非法人（包括其他组织、自然人）的</w:t>
      </w:r>
    </w:p>
    <w:p w14:paraId="3B8CD94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自</w:t>
      </w:r>
      <w:r>
        <w:rPr>
          <w:rFonts w:hint="eastAsia" w:ascii="宋体" w:hAnsi="宋体" w:eastAsia="宋体" w:cs="宋体"/>
          <w:sz w:val="24"/>
          <w:szCs w:val="24"/>
          <w:highlight w:val="none"/>
          <w:u w:val="single"/>
        </w:rPr>
        <w:t>　　年　　月　　日</w:t>
      </w:r>
      <w:r>
        <w:rPr>
          <w:rFonts w:hint="eastAsia" w:ascii="宋体" w:hAnsi="宋体" w:eastAsia="宋体" w:cs="宋体"/>
          <w:sz w:val="24"/>
          <w:szCs w:val="24"/>
          <w:highlight w:val="none"/>
        </w:rPr>
        <w:t>至</w:t>
      </w:r>
      <w:r>
        <w:rPr>
          <w:rFonts w:hint="eastAsia" w:ascii="宋体" w:hAnsi="宋体" w:eastAsia="宋体" w:cs="宋体"/>
          <w:sz w:val="24"/>
          <w:szCs w:val="24"/>
          <w:highlight w:val="none"/>
          <w:u w:val="single"/>
        </w:rPr>
        <w:t>　　年　　月　　日</w:t>
      </w:r>
      <w:r>
        <w:rPr>
          <w:rFonts w:hint="eastAsia" w:ascii="宋体" w:hAnsi="宋体" w:eastAsia="宋体" w:cs="宋体"/>
          <w:sz w:val="24"/>
          <w:szCs w:val="24"/>
          <w:highlight w:val="none"/>
        </w:rPr>
        <w:t>我方缴纳的社会保险凭据（限：税务机关/社会保障资金管理机关的专用收据或社会保险缴纳清单，或社会保险的银行缴款收讫凭证）复印件，上述证明材料真实有效，否则我方负全部责任。</w:t>
      </w:r>
    </w:p>
    <w:p w14:paraId="753CAA6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2、依法不需要缴纳或暂缓缴纳社会保障资金的</w:t>
      </w:r>
      <w:r>
        <w:rPr>
          <w:rFonts w:hint="eastAsia" w:ascii="宋体" w:hAnsi="宋体" w:eastAsia="宋体" w:cs="宋体"/>
          <w:sz w:val="24"/>
          <w:szCs w:val="24"/>
          <w:highlight w:val="none"/>
          <w:lang w:eastAsia="zh-CN"/>
        </w:rPr>
        <w:t>投标人</w:t>
      </w:r>
    </w:p>
    <w:p w14:paraId="40E4983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（）现附上我方依法不需要缴纳社会保障资金证明材料复印件，上述证明材料真实有效，否则我方负全部责任。</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20C7549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w:t>
      </w:r>
    </w:p>
    <w:p w14:paraId="1188FF5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1、请</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根据实际情况填写，在相应的（）中打“√”，并按照本格式的要求提供相应证明材料的复印件。</w:t>
      </w:r>
    </w:p>
    <w:p w14:paraId="48D512C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提供的社会保险凭据复印件应符合下列规定：</w:t>
      </w:r>
    </w:p>
    <w:p w14:paraId="642305A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2.1首次响应文件递交截止时间前（不含截止时间的当月）已依法缴纳社会保障资金的投</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，提供首次响应文件递交截止时间前六个月（不含截止时间的当月）中任一月份的社会保险凭据复印件。</w:t>
      </w:r>
    </w:p>
    <w:p w14:paraId="1C41022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2.2首次响应文件递交截止时间的当月成立的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，视同满足本项资格条件要求。</w:t>
      </w:r>
    </w:p>
    <w:p w14:paraId="0B7221C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2.3若为依法不需要缴纳或暂缓缴纳社会保障资金的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，提供依法不需要缴纳或暂缓缴纳社会保障资金证明材料的，视同满足本项资格条件要求。</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00DD14A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72E22D6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2CB02E3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30FC1EF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highlight w:val="none"/>
        </w:rPr>
        <w:br w:type="page"/>
      </w:r>
    </w:p>
    <w:p w14:paraId="04BB1F98">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具备履行合同所必需设备和专业技术能力证明材料</w:t>
      </w:r>
    </w:p>
    <w:p w14:paraId="58D2CF63">
      <w:pPr>
        <w:pageBreakBefore w:val="0"/>
        <w:kinsoku/>
        <w:wordWrap/>
        <w:overflowPunct/>
        <w:topLinePunct w:val="0"/>
        <w:bidi w:val="0"/>
        <w:spacing w:line="400" w:lineRule="exact"/>
        <w:textAlignment w:val="auto"/>
        <w:rPr>
          <w:highlight w:val="none"/>
        </w:rPr>
      </w:pPr>
    </w:p>
    <w:p w14:paraId="4A504E6E">
      <w:pPr>
        <w:pStyle w:val="28"/>
        <w:keepNext w:val="0"/>
        <w:keepLines w:val="0"/>
        <w:pageBreakBefore w:val="0"/>
        <w:widowControl/>
        <w:kinsoku/>
        <w:wordWrap/>
        <w:overflowPunct/>
        <w:topLinePunct w:val="0"/>
        <w:autoSpaceDE/>
        <w:autoSpaceDN/>
        <w:bidi w:val="0"/>
        <w:adjustRightInd/>
        <w:snapToGrid/>
        <w:spacing w:line="400" w:lineRule="exact"/>
        <w:jc w:val="center"/>
        <w:textAlignment w:val="auto"/>
        <w:outlineLvl w:val="9"/>
        <w:rPr>
          <w:rFonts w:hint="eastAsia" w:ascii="宋体" w:hAnsi="宋体" w:eastAsia="宋体" w:cs="宋体"/>
          <w:sz w:val="24"/>
          <w:szCs w:val="24"/>
          <w:highlight w:val="none"/>
        </w:rPr>
      </w:pPr>
      <w:r>
        <w:rPr>
          <w:rFonts w:hint="eastAsia" w:ascii="宋体" w:hAnsi="宋体" w:eastAsia="宋体" w:cs="宋体"/>
          <w:b/>
          <w:sz w:val="24"/>
          <w:szCs w:val="24"/>
          <w:highlight w:val="none"/>
        </w:rPr>
        <w:t>声明函</w:t>
      </w:r>
    </w:p>
    <w:p w14:paraId="06927DD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2FC1C61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我方具备履行合同所必需的设备和专业技术能力，并对本声明承诺的真实性负责，否则产生不利后果由我方承担责任。</w:t>
      </w:r>
    </w:p>
    <w:p w14:paraId="1C84254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特此声明。</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73F7EB4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w:t>
      </w:r>
    </w:p>
    <w:p w14:paraId="4976262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.对于接受联合体形式的磋商且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是联合体的，则联合体各成员都应当提交本资格证明文件。</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19F4D83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55FAC81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7E47C0E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7EDEF93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highlight w:val="none"/>
        </w:rPr>
        <w:br w:type="page"/>
      </w:r>
    </w:p>
    <w:p w14:paraId="0EA098D5">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参加采购活动前三年内在经营活动中没有重大违法记录书面声明</w:t>
      </w:r>
    </w:p>
    <w:p w14:paraId="441817D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p>
    <w:p w14:paraId="44506D17">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58DDAFD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特此</w:t>
      </w:r>
      <w:r>
        <w:rPr>
          <w:rFonts w:hint="eastAsia" w:ascii="宋体" w:hAnsi="宋体" w:eastAsia="宋体" w:cs="宋体"/>
          <w:sz w:val="24"/>
          <w:szCs w:val="24"/>
          <w:highlight w:val="none"/>
          <w:lang w:val="en-US" w:eastAsia="zh-CN"/>
        </w:rPr>
        <w:t>声</w:t>
      </w:r>
      <w:r>
        <w:rPr>
          <w:rFonts w:hint="eastAsia" w:ascii="宋体" w:hAnsi="宋体" w:eastAsia="宋体" w:cs="宋体"/>
          <w:sz w:val="24"/>
          <w:szCs w:val="24"/>
          <w:highlight w:val="none"/>
        </w:rPr>
        <w:t>明。</w:t>
      </w:r>
      <w:r>
        <w:rPr>
          <w:rFonts w:hint="eastAsia" w:ascii="宋体" w:hAnsi="宋体" w:eastAsia="宋体" w:cs="宋体"/>
          <w:sz w:val="24"/>
          <w:szCs w:val="24"/>
          <w:highlight w:val="none"/>
        </w:rPr>
        <w:br w:type="textWrapping"/>
      </w:r>
    </w:p>
    <w:p w14:paraId="383E686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280E30A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1509AA6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5E5F33C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p>
    <w:p w14:paraId="287215F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w:t>
      </w:r>
    </w:p>
    <w:p w14:paraId="01E4CA7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1、“重大违法记录”指</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6F9A157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2、请</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根据实际情况如实声明，否则视为提供虚假材料。</w:t>
      </w:r>
    </w:p>
    <w:p w14:paraId="5711FEBC">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page"/>
      </w:r>
    </w:p>
    <w:p w14:paraId="5974B7DC">
      <w:pPr>
        <w:pStyle w:val="28"/>
        <w:pageBreakBefore w:val="0"/>
        <w:kinsoku/>
        <w:wordWrap/>
        <w:overflowPunct/>
        <w:topLinePunct w:val="0"/>
        <w:bidi w:val="0"/>
        <w:spacing w:line="400" w:lineRule="exact"/>
        <w:jc w:val="center"/>
        <w:textAlignment w:val="auto"/>
        <w:outlineLvl w:val="3"/>
        <w:rPr>
          <w:sz w:val="21"/>
          <w:szCs w:val="21"/>
          <w:highlight w:val="none"/>
        </w:rPr>
      </w:pPr>
      <w:r>
        <w:rPr>
          <w:b/>
          <w:sz w:val="28"/>
          <w:szCs w:val="21"/>
          <w:highlight w:val="none"/>
        </w:rPr>
        <w:t>附件3-5 信用记录查询结果</w:t>
      </w:r>
    </w:p>
    <w:p w14:paraId="6B3DF083">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1、由磋商小组通过网站查询并打印</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的信用记录。</w:t>
      </w:r>
    </w:p>
    <w:p w14:paraId="6C8C5B50">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2、经查询，</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参加本项目采购活动(响应文件递交截止时间)前三年内被列入失信被执行人名单、重大税收违法案件当事人名单、政府采购严重违法失信行为记录名单及其他重大违法记录且相关信用惩戒期限未满的，其资格审查不合格。</w:t>
      </w:r>
    </w:p>
    <w:p w14:paraId="6B6354FF">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应了解自身的信用记录情况。当</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受到200万以上罚款的行政处罚且该罚款不属较大数额罚款时，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应在响应文件中提供此项罚款不属于较大数额罚款的依据（如提供：相关法律制度的规定、行政执法机构对该罚款不属于较大数额罚款的认定或者其他有效依据）。</w:t>
      </w:r>
    </w:p>
    <w:p w14:paraId="7C550F3B">
      <w:pPr>
        <w:pStyle w:val="28"/>
        <w:pageBreakBefore w:val="0"/>
        <w:kinsoku/>
        <w:wordWrap/>
        <w:overflowPunct/>
        <w:topLinePunct w:val="0"/>
        <w:bidi w:val="0"/>
        <w:spacing w:line="400" w:lineRule="exact"/>
        <w:jc w:val="left"/>
        <w:textAlignment w:val="auto"/>
        <w:rPr>
          <w:highlight w:val="none"/>
        </w:rPr>
      </w:pPr>
      <w:r>
        <w:rPr>
          <w:highlight w:val="none"/>
        </w:rPr>
        <w:t xml:space="preserve"> </w:t>
      </w:r>
      <w:r>
        <w:rPr>
          <w:highlight w:val="none"/>
        </w:rPr>
        <w:br w:type="textWrapping"/>
      </w:r>
      <w:r>
        <w:rPr>
          <w:highlight w:val="none"/>
        </w:rPr>
        <w:br w:type="page"/>
      </w:r>
    </w:p>
    <w:p w14:paraId="34DB79A1">
      <w:pPr>
        <w:pStyle w:val="28"/>
        <w:pageBreakBefore w:val="0"/>
        <w:kinsoku/>
        <w:wordWrap/>
        <w:overflowPunct/>
        <w:topLinePunct w:val="0"/>
        <w:bidi w:val="0"/>
        <w:spacing w:line="400" w:lineRule="exact"/>
        <w:jc w:val="center"/>
        <w:textAlignment w:val="auto"/>
        <w:outlineLvl w:val="3"/>
        <w:rPr>
          <w:b/>
          <w:sz w:val="28"/>
          <w:szCs w:val="21"/>
          <w:highlight w:val="none"/>
        </w:rPr>
      </w:pPr>
      <w:r>
        <w:rPr>
          <w:b/>
          <w:sz w:val="28"/>
          <w:szCs w:val="21"/>
          <w:highlight w:val="none"/>
        </w:rPr>
        <w:t>附件3-6联合体协议</w:t>
      </w:r>
    </w:p>
    <w:p w14:paraId="750C26FB">
      <w:pPr>
        <w:pStyle w:val="28"/>
        <w:pageBreakBefore w:val="0"/>
        <w:kinsoku/>
        <w:wordWrap/>
        <w:overflowPunct/>
        <w:topLinePunct w:val="0"/>
        <w:bidi w:val="0"/>
        <w:spacing w:line="400" w:lineRule="exact"/>
        <w:jc w:val="center"/>
        <w:textAlignment w:val="auto"/>
        <w:outlineLvl w:val="9"/>
        <w:rPr>
          <w:highlight w:val="none"/>
        </w:rPr>
      </w:pPr>
      <w:r>
        <w:rPr>
          <w:b/>
          <w:sz w:val="24"/>
          <w:highlight w:val="none"/>
        </w:rPr>
        <w:t>（接受联合体的项目使用）</w:t>
      </w:r>
    </w:p>
    <w:p w14:paraId="13F0AB16">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致：</w:t>
      </w:r>
      <w:r>
        <w:rPr>
          <w:rFonts w:hint="eastAsia" w:ascii="宋体" w:hAnsi="宋体" w:eastAsia="宋体" w:cs="宋体"/>
          <w:sz w:val="24"/>
          <w:szCs w:val="24"/>
          <w:highlight w:val="none"/>
          <w:u w:val="single"/>
        </w:rPr>
        <w:t>（采购人或采购代理机构）</w:t>
      </w:r>
    </w:p>
    <w:p w14:paraId="31C547A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兹有</w:t>
      </w:r>
      <w:r>
        <w:rPr>
          <w:rFonts w:hint="eastAsia" w:ascii="宋体" w:hAnsi="宋体" w:eastAsia="宋体" w:cs="宋体"/>
          <w:sz w:val="24"/>
          <w:szCs w:val="24"/>
          <w:highlight w:val="none"/>
          <w:u w:val="single"/>
        </w:rPr>
        <w:t>（填写“联合体中各方的全称”，各方的全称之间请用“、”分割）</w:t>
      </w:r>
      <w:r>
        <w:rPr>
          <w:rFonts w:hint="eastAsia" w:ascii="宋体" w:hAnsi="宋体" w:eastAsia="宋体" w:cs="宋体"/>
          <w:sz w:val="24"/>
          <w:szCs w:val="24"/>
          <w:highlight w:val="none"/>
        </w:rPr>
        <w:t>自愿组成联合体，共同参加</w:t>
      </w:r>
      <w:r>
        <w:rPr>
          <w:rFonts w:hint="eastAsia" w:ascii="宋体" w:hAnsi="宋体" w:eastAsia="宋体" w:cs="宋体"/>
          <w:sz w:val="24"/>
          <w:szCs w:val="24"/>
          <w:highlight w:val="none"/>
          <w:u w:val="single"/>
        </w:rPr>
        <w:t>（填写“项目名称”）</w:t>
      </w:r>
      <w:r>
        <w:rPr>
          <w:rFonts w:hint="eastAsia" w:ascii="宋体" w:hAnsi="宋体" w:eastAsia="宋体" w:cs="宋体"/>
          <w:sz w:val="24"/>
          <w:szCs w:val="24"/>
          <w:highlight w:val="none"/>
        </w:rPr>
        <w:t xml:space="preserve"> 项目（项目编号：</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）的响应磋商。现就联合体参加本项目响应磋商的有关事宜达成下列协议：</w:t>
      </w:r>
    </w:p>
    <w:p w14:paraId="1C6D5E9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一、联合体各方应承担的工作和义务具体如下：</w:t>
      </w:r>
    </w:p>
    <w:p w14:paraId="6343188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1、牵头方（全称）：</w:t>
      </w:r>
      <w:r>
        <w:rPr>
          <w:rFonts w:hint="eastAsia" w:ascii="宋体" w:hAnsi="宋体" w:eastAsia="宋体" w:cs="宋体"/>
          <w:sz w:val="24"/>
          <w:szCs w:val="24"/>
          <w:highlight w:val="none"/>
          <w:u w:val="single"/>
        </w:rPr>
        <w:t xml:space="preserve">（填写“工作及义务的具体内容”） </w:t>
      </w:r>
      <w:r>
        <w:rPr>
          <w:rFonts w:hint="eastAsia" w:ascii="宋体" w:hAnsi="宋体" w:eastAsia="宋体" w:cs="宋体"/>
          <w:sz w:val="24"/>
          <w:szCs w:val="24"/>
          <w:highlight w:val="none"/>
        </w:rPr>
        <w:t>；</w:t>
      </w:r>
    </w:p>
    <w:p w14:paraId="211B374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2、成员方：</w:t>
      </w:r>
    </w:p>
    <w:p w14:paraId="5634787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2.1（成员一的全称）：</w:t>
      </w:r>
      <w:r>
        <w:rPr>
          <w:rFonts w:hint="eastAsia" w:ascii="宋体" w:hAnsi="宋体" w:eastAsia="宋体" w:cs="宋体"/>
          <w:sz w:val="24"/>
          <w:szCs w:val="24"/>
          <w:highlight w:val="none"/>
          <w:u w:val="single"/>
        </w:rPr>
        <w:t>（填写“工作及义务的具体内容”）</w:t>
      </w:r>
      <w:r>
        <w:rPr>
          <w:rFonts w:hint="eastAsia" w:ascii="宋体" w:hAnsi="宋体" w:eastAsia="宋体" w:cs="宋体"/>
          <w:sz w:val="24"/>
          <w:szCs w:val="24"/>
          <w:highlight w:val="none"/>
        </w:rPr>
        <w:t xml:space="preserve"> ；</w:t>
      </w:r>
    </w:p>
    <w:p w14:paraId="007B662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06D361F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二、联合体各方的合同金额占比，具体如下：</w:t>
      </w:r>
    </w:p>
    <w:p w14:paraId="4083DCA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1.牵头方（</w:t>
      </w:r>
      <w:r>
        <w:rPr>
          <w:rFonts w:hint="eastAsia" w:ascii="宋体" w:hAnsi="宋体" w:eastAsia="宋体" w:cs="宋体"/>
          <w:sz w:val="24"/>
          <w:szCs w:val="24"/>
          <w:highlight w:val="none"/>
          <w:u w:val="single"/>
        </w:rPr>
        <w:t xml:space="preserve"> 全称</w:t>
      </w:r>
      <w:r>
        <w:rPr>
          <w:rFonts w:hint="eastAsia" w:ascii="宋体" w:hAnsi="宋体" w:eastAsia="宋体" w:cs="宋体"/>
          <w:sz w:val="24"/>
          <w:szCs w:val="24"/>
          <w:highlight w:val="none"/>
        </w:rPr>
        <w:t xml:space="preserve"> ）的合同金额占合同总额的</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485D92D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2.成员方：</w:t>
      </w:r>
    </w:p>
    <w:p w14:paraId="380B422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2.1（</w:t>
      </w:r>
      <w:r>
        <w:rPr>
          <w:rFonts w:hint="eastAsia" w:ascii="宋体" w:hAnsi="宋体" w:eastAsia="宋体" w:cs="宋体"/>
          <w:sz w:val="24"/>
          <w:szCs w:val="24"/>
          <w:highlight w:val="none"/>
          <w:u w:val="single"/>
        </w:rPr>
        <w:t xml:space="preserve"> 成员1的全称 </w:t>
      </w:r>
      <w:r>
        <w:rPr>
          <w:rFonts w:hint="eastAsia" w:ascii="宋体" w:hAnsi="宋体" w:eastAsia="宋体" w:cs="宋体"/>
          <w:sz w:val="24"/>
          <w:szCs w:val="24"/>
          <w:highlight w:val="none"/>
        </w:rPr>
        <w:t>）的合同金额占合同总额的</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31DBF98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17A4166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三、联合体各方约定：</w:t>
      </w:r>
    </w:p>
    <w:p w14:paraId="1733E34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1、由</w:t>
      </w:r>
      <w:r>
        <w:rPr>
          <w:rFonts w:hint="eastAsia" w:ascii="宋体" w:hAnsi="宋体" w:eastAsia="宋体" w:cs="宋体"/>
          <w:sz w:val="24"/>
          <w:szCs w:val="24"/>
          <w:highlight w:val="none"/>
          <w:u w:val="single"/>
        </w:rPr>
        <w:t>（填写“牵头方的全称”）代表联合体办理参加本项目报价的有关事宜（包括但不限于：注册账号、派出</w:t>
      </w:r>
      <w:r>
        <w:rPr>
          <w:rFonts w:hint="eastAsia" w:ascii="宋体" w:hAnsi="宋体" w:eastAsia="宋体" w:cs="宋体"/>
          <w:sz w:val="24"/>
          <w:szCs w:val="24"/>
          <w:highlight w:val="none"/>
          <w:u w:val="single"/>
          <w:lang w:eastAsia="zh-CN"/>
        </w:rPr>
        <w:t>投标人</w:t>
      </w:r>
      <w:r>
        <w:rPr>
          <w:rFonts w:hint="eastAsia" w:ascii="宋体" w:hAnsi="宋体" w:eastAsia="宋体" w:cs="宋体"/>
          <w:sz w:val="24"/>
          <w:szCs w:val="24"/>
          <w:highlight w:val="none"/>
          <w:u w:val="single"/>
        </w:rPr>
        <w:t>代表、提交响应文件及参加开标、谈判、澄清等），在此过程中，</w:t>
      </w:r>
      <w:r>
        <w:rPr>
          <w:rFonts w:hint="eastAsia" w:ascii="宋体" w:hAnsi="宋体" w:eastAsia="宋体" w:cs="宋体"/>
          <w:sz w:val="24"/>
          <w:szCs w:val="24"/>
          <w:highlight w:val="none"/>
          <w:u w:val="single"/>
          <w:lang w:eastAsia="zh-CN"/>
        </w:rPr>
        <w:t>投标人</w:t>
      </w:r>
      <w:r>
        <w:rPr>
          <w:rFonts w:hint="eastAsia" w:ascii="宋体" w:hAnsi="宋体" w:eastAsia="宋体" w:cs="宋体"/>
          <w:sz w:val="24"/>
          <w:szCs w:val="24"/>
          <w:highlight w:val="none"/>
          <w:u w:val="single"/>
        </w:rPr>
        <w:t>代表签字的一切文件和处理结果，联合体均予以认可并对此承担责任。</w:t>
      </w:r>
    </w:p>
    <w:p w14:paraId="6350C8C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2、联合体各方约定由</w:t>
      </w:r>
      <w:r>
        <w:rPr>
          <w:rFonts w:hint="eastAsia" w:ascii="宋体" w:hAnsi="宋体" w:eastAsia="宋体" w:cs="宋体"/>
          <w:sz w:val="24"/>
          <w:szCs w:val="24"/>
          <w:highlight w:val="none"/>
          <w:u w:val="single"/>
        </w:rPr>
        <w:t>（填写“牵头方的全称”）代表联合体办理磋商保证金事宜。</w:t>
      </w:r>
    </w:p>
    <w:p w14:paraId="00BE04C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5281381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0F07E73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五、本协议自签署之日起生效，政府采购合同履行完毕后自动失效。</w:t>
      </w:r>
    </w:p>
    <w:p w14:paraId="40C9DC5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六、本协议一式</w:t>
      </w:r>
      <w:r>
        <w:rPr>
          <w:rFonts w:hint="eastAsia" w:ascii="宋体" w:hAnsi="宋体" w:eastAsia="宋体" w:cs="宋体"/>
          <w:sz w:val="24"/>
          <w:szCs w:val="24"/>
          <w:highlight w:val="none"/>
          <w:u w:val="single"/>
        </w:rPr>
        <w:t>（填写具体份数）</w:t>
      </w:r>
      <w:r>
        <w:rPr>
          <w:rFonts w:hint="eastAsia" w:ascii="宋体" w:hAnsi="宋体" w:eastAsia="宋体" w:cs="宋体"/>
          <w:sz w:val="24"/>
          <w:szCs w:val="24"/>
          <w:highlight w:val="none"/>
        </w:rPr>
        <w:t>份，联合体各方各执一份，响应文件中提交一份。</w:t>
      </w:r>
    </w:p>
    <w:p w14:paraId="7279852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（以下无正文）</w:t>
      </w:r>
    </w:p>
    <w:p w14:paraId="1C713CF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牵头方：</w:t>
      </w:r>
      <w:r>
        <w:rPr>
          <w:rFonts w:hint="eastAsia" w:ascii="宋体" w:hAnsi="宋体" w:eastAsia="宋体" w:cs="宋体"/>
          <w:sz w:val="24"/>
          <w:szCs w:val="24"/>
          <w:highlight w:val="none"/>
          <w:u w:val="single"/>
        </w:rPr>
        <w:t>（全称并加盖单位公章）</w:t>
      </w:r>
    </w:p>
    <w:p w14:paraId="7ED18F5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法定代表人或其委托代理人：</w:t>
      </w:r>
      <w:r>
        <w:rPr>
          <w:rFonts w:hint="eastAsia" w:ascii="宋体" w:hAnsi="宋体" w:eastAsia="宋体" w:cs="宋体"/>
          <w:sz w:val="24"/>
          <w:szCs w:val="24"/>
          <w:highlight w:val="none"/>
          <w:u w:val="single"/>
        </w:rPr>
        <w:t xml:space="preserve"> （签字或盖章）</w:t>
      </w:r>
    </w:p>
    <w:p w14:paraId="7952341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成员一：</w:t>
      </w:r>
      <w:r>
        <w:rPr>
          <w:rFonts w:hint="eastAsia" w:ascii="宋体" w:hAnsi="宋体" w:eastAsia="宋体" w:cs="宋体"/>
          <w:sz w:val="24"/>
          <w:szCs w:val="24"/>
          <w:highlight w:val="none"/>
          <w:u w:val="single"/>
        </w:rPr>
        <w:t>（全称并加盖成员一的单位公章）</w:t>
      </w:r>
    </w:p>
    <w:p w14:paraId="64D069D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法定代表人或其委托代理人：</w:t>
      </w:r>
      <w:r>
        <w:rPr>
          <w:rFonts w:hint="eastAsia" w:ascii="宋体" w:hAnsi="宋体" w:eastAsia="宋体" w:cs="宋体"/>
          <w:sz w:val="24"/>
          <w:szCs w:val="24"/>
          <w:highlight w:val="none"/>
          <w:u w:val="single"/>
        </w:rPr>
        <w:t xml:space="preserve"> （签字或盖章）</w:t>
      </w:r>
    </w:p>
    <w:p w14:paraId="71B7ED9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1BCB6F2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成员**：</w:t>
      </w:r>
      <w:r>
        <w:rPr>
          <w:rFonts w:hint="eastAsia" w:ascii="宋体" w:hAnsi="宋体" w:eastAsia="宋体" w:cs="宋体"/>
          <w:sz w:val="24"/>
          <w:szCs w:val="24"/>
          <w:highlight w:val="none"/>
          <w:u w:val="single"/>
        </w:rPr>
        <w:t>（全称并加盖成员**的单位公章）</w:t>
      </w:r>
    </w:p>
    <w:p w14:paraId="4F658C2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法定代表人或其委托代理人：</w:t>
      </w:r>
      <w:r>
        <w:rPr>
          <w:rFonts w:hint="eastAsia" w:ascii="宋体" w:hAnsi="宋体" w:eastAsia="宋体" w:cs="宋体"/>
          <w:sz w:val="24"/>
          <w:szCs w:val="24"/>
          <w:highlight w:val="none"/>
          <w:u w:val="single"/>
        </w:rPr>
        <w:t xml:space="preserve"> （签字或盖章）</w:t>
      </w:r>
    </w:p>
    <w:p w14:paraId="5991133C">
      <w:pPr>
        <w:pStyle w:val="28"/>
        <w:keepNext w:val="0"/>
        <w:keepLines w:val="0"/>
        <w:pageBreakBefore w:val="0"/>
        <w:widowControl/>
        <w:kinsoku/>
        <w:wordWrap/>
        <w:overflowPunct/>
        <w:topLinePunct w:val="0"/>
        <w:autoSpaceDE/>
        <w:autoSpaceDN/>
        <w:bidi w:val="0"/>
        <w:adjustRightInd/>
        <w:snapToGrid/>
        <w:spacing w:line="400" w:lineRule="exact"/>
        <w:ind w:firstLine="480"/>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签署日期：</w:t>
      </w:r>
      <w:r>
        <w:rPr>
          <w:rFonts w:hint="eastAsia" w:ascii="宋体" w:hAnsi="宋体" w:eastAsia="宋体" w:cs="宋体"/>
          <w:sz w:val="24"/>
          <w:szCs w:val="24"/>
          <w:highlight w:val="none"/>
          <w:u w:val="single"/>
        </w:rPr>
        <w:t>　　年　　月　　日</w:t>
      </w:r>
    </w:p>
    <w:p w14:paraId="102EFE2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w:t>
      </w:r>
    </w:p>
    <w:p w14:paraId="6E3A84F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1、磋商文件接受联合体报价且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为联合体的，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应提供本协议；否则无须提供。</w:t>
      </w:r>
    </w:p>
    <w:p w14:paraId="3A4164B4">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2、本协议由委托代理人签字或盖章的，应按照本章载明的格式提供“单位授权书”。</w:t>
      </w:r>
    </w:p>
    <w:p w14:paraId="631BC18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3、在以联合体形式落实中小企业预留份额项目中，</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除了要提供《中小企业声明函》，还需提供本协议。</w:t>
      </w:r>
    </w:p>
    <w:p w14:paraId="23331B5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4、在以联合体形式落实中小企业预留份额项目中，</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除了要提供《中小企业声明函》，还需提供本协议。</w:t>
      </w:r>
    </w:p>
    <w:p w14:paraId="6D162B4E">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page"/>
      </w:r>
    </w:p>
    <w:p w14:paraId="1D902E52">
      <w:pPr>
        <w:pStyle w:val="28"/>
        <w:pageBreakBefore w:val="0"/>
        <w:kinsoku/>
        <w:wordWrap/>
        <w:overflowPunct/>
        <w:topLinePunct w:val="0"/>
        <w:bidi w:val="0"/>
        <w:spacing w:line="400" w:lineRule="exact"/>
        <w:jc w:val="center"/>
        <w:textAlignment w:val="auto"/>
        <w:outlineLvl w:val="3"/>
        <w:rPr>
          <w:b/>
          <w:sz w:val="28"/>
          <w:szCs w:val="21"/>
          <w:highlight w:val="none"/>
        </w:rPr>
      </w:pPr>
      <w:r>
        <w:rPr>
          <w:b/>
          <w:sz w:val="28"/>
          <w:szCs w:val="21"/>
          <w:highlight w:val="none"/>
        </w:rPr>
        <w:t>附件3-7 分包意向协议（若有）</w:t>
      </w:r>
    </w:p>
    <w:p w14:paraId="33B4015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甲方（总包方）：</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（即本项目的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w:t>
      </w:r>
    </w:p>
    <w:p w14:paraId="1013DB8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乙方（分包方）：</w:t>
      </w:r>
      <w:r>
        <w:rPr>
          <w:rFonts w:hint="eastAsia" w:ascii="宋体" w:hAnsi="宋体" w:eastAsia="宋体" w:cs="宋体"/>
          <w:sz w:val="24"/>
          <w:szCs w:val="24"/>
          <w:highlight w:val="none"/>
          <w:u w:val="single"/>
        </w:rPr>
        <w:t>　　　　　　　</w:t>
      </w:r>
    </w:p>
    <w:p w14:paraId="5F6154A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兹有甲方参加</w:t>
      </w:r>
      <w:r>
        <w:rPr>
          <w:rFonts w:hint="eastAsia" w:ascii="宋体" w:hAnsi="宋体" w:eastAsia="宋体" w:cs="宋体"/>
          <w:sz w:val="24"/>
          <w:szCs w:val="24"/>
          <w:highlight w:val="none"/>
          <w:u w:val="single"/>
        </w:rPr>
        <w:t>（填写“项目名称”）</w:t>
      </w:r>
      <w:r>
        <w:rPr>
          <w:rFonts w:hint="eastAsia" w:ascii="宋体" w:hAnsi="宋体" w:eastAsia="宋体" w:cs="宋体"/>
          <w:sz w:val="24"/>
          <w:szCs w:val="24"/>
          <w:highlight w:val="none"/>
        </w:rPr>
        <w:t xml:space="preserve"> 项目（项目编号：</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）的政府采购活动。甲方期望将采购项目的部分采购标的分包给乙方完成，而乙方保证能够向甲方提供本协议项下的采购标的，甲、乙双方就合同分包的有关事宜达成下列协议：</w:t>
      </w:r>
    </w:p>
    <w:p w14:paraId="42911AF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一、分包标的</w:t>
      </w:r>
    </w:p>
    <w:p w14:paraId="6AFFCF9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u w:val="single"/>
        </w:rPr>
        <w:t>（根据双方的意向填写，可以是表格或文字描述）。</w:t>
      </w:r>
    </w:p>
    <w:p w14:paraId="2C6AB9D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二、分包合同金额占比</w:t>
      </w:r>
    </w:p>
    <w:p w14:paraId="0688C8B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分包合同价占报价总价的比例：</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w:t>
      </w:r>
    </w:p>
    <w:p w14:paraId="263C787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三、其他条款</w:t>
      </w:r>
    </w:p>
    <w:p w14:paraId="0B14D29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1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07AFBA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B9D816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甲方：</w:t>
            </w:r>
          </w:p>
        </w:tc>
        <w:tc>
          <w:tcPr>
            <w:tcW w:w="4153" w:type="dxa"/>
          </w:tcPr>
          <w:p w14:paraId="3FDBA357">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乙方：</w:t>
            </w:r>
          </w:p>
        </w:tc>
      </w:tr>
      <w:tr w14:paraId="6AE94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937F3B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住所：</w:t>
            </w:r>
          </w:p>
        </w:tc>
        <w:tc>
          <w:tcPr>
            <w:tcW w:w="4153" w:type="dxa"/>
          </w:tcPr>
          <w:p w14:paraId="14D61D80">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住所：</w:t>
            </w:r>
          </w:p>
        </w:tc>
      </w:tr>
      <w:tr w14:paraId="5A84A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773D66F">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单位负责人或委托代理人：</w:t>
            </w:r>
          </w:p>
        </w:tc>
        <w:tc>
          <w:tcPr>
            <w:tcW w:w="4153" w:type="dxa"/>
          </w:tcPr>
          <w:p w14:paraId="3C860D2C">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单位负责人或委托代理人：</w:t>
            </w:r>
          </w:p>
        </w:tc>
      </w:tr>
      <w:tr w14:paraId="6C28A8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199389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联系方法：</w:t>
            </w:r>
          </w:p>
        </w:tc>
        <w:tc>
          <w:tcPr>
            <w:tcW w:w="4153" w:type="dxa"/>
          </w:tcPr>
          <w:p w14:paraId="4873FC4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联系方法：</w:t>
            </w:r>
          </w:p>
        </w:tc>
      </w:tr>
      <w:tr w14:paraId="6A15BD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5ADB73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p>
        </w:tc>
        <w:tc>
          <w:tcPr>
            <w:tcW w:w="4153" w:type="dxa"/>
          </w:tcPr>
          <w:p w14:paraId="29DE9048">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p>
        </w:tc>
      </w:tr>
      <w:tr w14:paraId="0315C8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2082D2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账号：</w:t>
            </w:r>
          </w:p>
        </w:tc>
        <w:tc>
          <w:tcPr>
            <w:tcW w:w="4153" w:type="dxa"/>
          </w:tcPr>
          <w:p w14:paraId="4E80DFDD">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账号：</w:t>
            </w:r>
          </w:p>
        </w:tc>
      </w:tr>
      <w:tr w14:paraId="4E1DB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50F5A842">
            <w:pPr>
              <w:pStyle w:val="28"/>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签订地点：</w:t>
            </w:r>
            <w:r>
              <w:rPr>
                <w:rFonts w:hint="eastAsia" w:ascii="宋体" w:hAnsi="宋体" w:eastAsia="宋体" w:cs="宋体"/>
                <w:sz w:val="24"/>
                <w:szCs w:val="24"/>
                <w:highlight w:val="none"/>
                <w:u w:val="single"/>
              </w:rPr>
              <w:t>　　　　　　　　　　</w:t>
            </w:r>
          </w:p>
          <w:p w14:paraId="6F1F4FC9">
            <w:pPr>
              <w:pStyle w:val="28"/>
              <w:keepNext w:val="0"/>
              <w:keepLines w:val="0"/>
              <w:pageBreakBefore w:val="0"/>
              <w:widowControl/>
              <w:kinsoku/>
              <w:wordWrap/>
              <w:overflowPunct/>
              <w:topLinePunct w:val="0"/>
              <w:autoSpaceDE/>
              <w:autoSpaceDN/>
              <w:bidi w:val="0"/>
              <w:adjustRightInd/>
              <w:snapToGrid/>
              <w:spacing w:line="400" w:lineRule="exact"/>
              <w:jc w:val="righ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签约日期：</w:t>
            </w:r>
            <w:r>
              <w:rPr>
                <w:rFonts w:hint="eastAsia" w:ascii="宋体" w:hAnsi="宋体" w:eastAsia="宋体" w:cs="宋体"/>
                <w:sz w:val="24"/>
                <w:szCs w:val="24"/>
                <w:highlight w:val="none"/>
                <w:u w:val="single"/>
              </w:rPr>
              <w:t>　　年　　月　　日</w:t>
            </w:r>
          </w:p>
        </w:tc>
      </w:tr>
    </w:tbl>
    <w:p w14:paraId="1A74698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w:t>
      </w:r>
    </w:p>
    <w:p w14:paraId="037E5F0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1.磋商文件接受合同分包且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拟将合同分包的，应提供本协议；否则无须提供。</w:t>
      </w:r>
    </w:p>
    <w:p w14:paraId="767B1A3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2.本协议由委托代理人签字或盖章的，应按照本章载明的格式提供“单位授权书”。</w:t>
      </w:r>
    </w:p>
    <w:p w14:paraId="60B5F32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3.在以合同分包形式落实中小企业预留份额项目中，</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除了要提供《中小企业声明函》，还需提供本协议。</w:t>
      </w:r>
    </w:p>
    <w:p w14:paraId="7187926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page"/>
      </w:r>
    </w:p>
    <w:p w14:paraId="722508DB">
      <w:pPr>
        <w:pStyle w:val="28"/>
        <w:pageBreakBefore w:val="0"/>
        <w:kinsoku/>
        <w:wordWrap/>
        <w:overflowPunct/>
        <w:topLinePunct w:val="0"/>
        <w:bidi w:val="0"/>
        <w:spacing w:line="400" w:lineRule="exact"/>
        <w:jc w:val="center"/>
        <w:textAlignment w:val="auto"/>
        <w:outlineLvl w:val="3"/>
        <w:rPr>
          <w:b/>
          <w:sz w:val="28"/>
          <w:szCs w:val="21"/>
          <w:highlight w:val="none"/>
        </w:rPr>
      </w:pPr>
      <w:r>
        <w:rPr>
          <w:b/>
          <w:sz w:val="28"/>
          <w:szCs w:val="21"/>
          <w:highlight w:val="none"/>
        </w:rPr>
        <w:t>附件3-8 其它资格证明文件</w:t>
      </w:r>
    </w:p>
    <w:p w14:paraId="26C7A49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p>
    <w:p w14:paraId="3DF026E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说明：1、采购人或采购代理机构可以根据项目的特点和需要，在磋商文件“</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的资格”中特定资格条件，对其它资格证明文件进行具体规定，</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应按照磋商文件要求，在此项下提供相关证明材料，并加盖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单位公章。</w:t>
      </w:r>
    </w:p>
    <w:p w14:paraId="124B0F4D">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2、若磋商文件规定接受联合体形式且</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为联合体的，涉及联合体成员的其它资格证明文件在此处提供相关证明材料，并加盖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单位公章。</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342C051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1C08A59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158B65F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495A5485">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highlight w:val="none"/>
        </w:rPr>
        <w:br w:type="textWrapping"/>
      </w:r>
      <w:r>
        <w:rPr>
          <w:highlight w:val="none"/>
        </w:rPr>
        <w:br w:type="page"/>
      </w:r>
    </w:p>
    <w:p w14:paraId="3373401D">
      <w:pPr>
        <w:pStyle w:val="28"/>
        <w:pageBreakBefore w:val="0"/>
        <w:kinsoku/>
        <w:wordWrap/>
        <w:overflowPunct/>
        <w:topLinePunct w:val="0"/>
        <w:bidi w:val="0"/>
        <w:spacing w:line="400" w:lineRule="exact"/>
        <w:jc w:val="center"/>
        <w:textAlignment w:val="auto"/>
        <w:outlineLvl w:val="2"/>
        <w:rPr>
          <w:highlight w:val="none"/>
        </w:rPr>
      </w:pPr>
      <w:r>
        <w:rPr>
          <w:b/>
          <w:sz w:val="28"/>
          <w:highlight w:val="none"/>
        </w:rPr>
        <w:t>附件4 磋商保证金凭证</w:t>
      </w:r>
    </w:p>
    <w:p w14:paraId="040DE5BD">
      <w:pPr>
        <w:pStyle w:val="28"/>
        <w:pageBreakBefore w:val="0"/>
        <w:kinsoku/>
        <w:wordWrap/>
        <w:overflowPunct/>
        <w:topLinePunct w:val="0"/>
        <w:bidi w:val="0"/>
        <w:spacing w:line="400" w:lineRule="exact"/>
        <w:jc w:val="center"/>
        <w:textAlignment w:val="auto"/>
        <w:outlineLvl w:val="9"/>
        <w:rPr>
          <w:highlight w:val="none"/>
        </w:rPr>
      </w:pPr>
      <w:r>
        <w:rPr>
          <w:b/>
          <w:sz w:val="24"/>
          <w:highlight w:val="none"/>
        </w:rPr>
        <w:t>编制说明</w:t>
      </w:r>
    </w:p>
    <w:p w14:paraId="619C80D1">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1、在此项下提交的“磋商保证金”材料可使用转账凭证复印件或提供保函</w:t>
      </w:r>
      <w:r>
        <w:rPr>
          <w:rFonts w:hint="eastAsia" w:ascii="宋体" w:hAnsi="宋体" w:eastAsia="宋体" w:cs="宋体"/>
          <w:sz w:val="24"/>
          <w:szCs w:val="24"/>
          <w:highlight w:val="none"/>
          <w:lang w:val="en-US" w:eastAsia="zh-CN"/>
        </w:rPr>
        <w:t>复印件</w:t>
      </w:r>
      <w:r>
        <w:rPr>
          <w:rFonts w:hint="eastAsia" w:ascii="宋体" w:hAnsi="宋体" w:eastAsia="宋体" w:cs="宋体"/>
          <w:b/>
          <w:bCs/>
          <w:sz w:val="24"/>
          <w:szCs w:val="24"/>
          <w:highlight w:val="none"/>
          <w:u w:val="single"/>
          <w:lang w:val="en-US" w:eastAsia="zh-CN"/>
        </w:rPr>
        <w:t>(保函原件应于提交响应文件时单独密封提供)</w:t>
      </w:r>
      <w:r>
        <w:rPr>
          <w:rFonts w:hint="eastAsia" w:ascii="宋体" w:hAnsi="宋体" w:eastAsia="宋体" w:cs="宋体"/>
          <w:sz w:val="24"/>
          <w:szCs w:val="24"/>
          <w:highlight w:val="none"/>
        </w:rPr>
        <w:t>。</w:t>
      </w:r>
    </w:p>
    <w:p w14:paraId="1A749415">
      <w:pPr>
        <w:pStyle w:val="28"/>
        <w:pageBreakBefore w:val="0"/>
        <w:kinsoku/>
        <w:wordWrap/>
        <w:overflowPunct/>
        <w:topLinePunct w:val="0"/>
        <w:bidi w:val="0"/>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2、磋商保证金是否已提交按照磋商文件规定执行。</w:t>
      </w:r>
    </w:p>
    <w:p w14:paraId="49A7B652">
      <w:pPr>
        <w:pStyle w:val="28"/>
        <w:pageBreakBefore w:val="0"/>
        <w:kinsoku/>
        <w:wordWrap/>
        <w:overflowPunct/>
        <w:topLinePunct w:val="0"/>
        <w:bidi w:val="0"/>
        <w:spacing w:line="400" w:lineRule="exact"/>
        <w:jc w:val="left"/>
        <w:textAlignment w:val="auto"/>
        <w:rPr>
          <w:highlight w:val="none"/>
        </w:rPr>
      </w:pPr>
      <w:r>
        <w:rPr>
          <w:highlight w:val="none"/>
        </w:rPr>
        <w:t xml:space="preserve"> </w:t>
      </w:r>
      <w:r>
        <w:rPr>
          <w:highlight w:val="none"/>
        </w:rPr>
        <w:br w:type="textWrapping"/>
      </w:r>
      <w:r>
        <w:rPr>
          <w:highlight w:val="none"/>
        </w:rPr>
        <w:br w:type="page"/>
      </w:r>
    </w:p>
    <w:p w14:paraId="4B2FF232">
      <w:pPr>
        <w:pStyle w:val="28"/>
        <w:pageBreakBefore w:val="0"/>
        <w:kinsoku/>
        <w:wordWrap/>
        <w:overflowPunct/>
        <w:topLinePunct w:val="0"/>
        <w:bidi w:val="0"/>
        <w:spacing w:line="400" w:lineRule="exact"/>
        <w:jc w:val="center"/>
        <w:textAlignment w:val="auto"/>
        <w:outlineLvl w:val="2"/>
        <w:rPr>
          <w:b/>
          <w:sz w:val="28"/>
          <w:highlight w:val="none"/>
        </w:rPr>
      </w:pPr>
      <w:r>
        <w:rPr>
          <w:rFonts w:hint="eastAsia"/>
          <w:b/>
          <w:sz w:val="28"/>
          <w:highlight w:val="none"/>
        </w:rPr>
        <w:t>附件5</w:t>
      </w:r>
      <w:r>
        <w:rPr>
          <w:rFonts w:hint="eastAsia"/>
          <w:b/>
          <w:sz w:val="28"/>
          <w:highlight w:val="none"/>
          <w:lang w:val="en-US" w:eastAsia="zh-CN"/>
        </w:rPr>
        <w:t xml:space="preserve"> </w:t>
      </w:r>
      <w:r>
        <w:rPr>
          <w:rFonts w:hint="eastAsia"/>
          <w:b/>
          <w:sz w:val="28"/>
          <w:highlight w:val="none"/>
        </w:rPr>
        <w:t>技术和商务偏离表</w:t>
      </w:r>
    </w:p>
    <w:p w14:paraId="5A4E9C47">
      <w:pPr>
        <w:pStyle w:val="28"/>
        <w:pageBreakBefore w:val="0"/>
        <w:kinsoku/>
        <w:wordWrap/>
        <w:overflowPunct/>
        <w:topLinePunct w:val="0"/>
        <w:bidi w:val="0"/>
        <w:spacing w:line="400" w:lineRule="exact"/>
        <w:jc w:val="center"/>
        <w:textAlignment w:val="auto"/>
        <w:outlineLvl w:val="3"/>
        <w:rPr>
          <w:highlight w:val="none"/>
        </w:rPr>
      </w:pPr>
      <w:r>
        <w:rPr>
          <w:b/>
          <w:sz w:val="28"/>
          <w:highlight w:val="none"/>
        </w:rPr>
        <w:t>附件5-1 技术和服务要求响应表</w:t>
      </w:r>
    </w:p>
    <w:p w14:paraId="7B96241A">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rPr>
      </w:pPr>
      <w:r>
        <w:rPr>
          <w:rFonts w:hint="eastAsia" w:ascii="宋体" w:hAnsi="宋体" w:eastAsia="宋体" w:cs="宋体"/>
          <w:b w:val="0"/>
          <w:bCs w:val="0"/>
          <w:sz w:val="24"/>
          <w:szCs w:val="24"/>
          <w:highlight w:val="none"/>
        </w:rPr>
        <w:t>项目名称：</w:t>
      </w:r>
      <w:r>
        <w:rPr>
          <w:rFonts w:hint="eastAsia" w:ascii="宋体" w:hAnsi="宋体" w:eastAsia="宋体" w:cs="宋体"/>
          <w:b w:val="0"/>
          <w:bCs w:val="0"/>
          <w:sz w:val="24"/>
          <w:szCs w:val="24"/>
          <w:highlight w:val="none"/>
          <w:u w:val="single"/>
          <w:lang w:val="en-US" w:eastAsia="zh-CN"/>
        </w:rPr>
        <w:t xml:space="preserve">          </w:t>
      </w:r>
      <w:r>
        <w:rPr>
          <w:rFonts w:hint="eastAsia" w:ascii="宋体" w:hAnsi="宋体" w:eastAsia="宋体" w:cs="宋体"/>
          <w:b w:val="0"/>
          <w:bCs w:val="0"/>
          <w:sz w:val="24"/>
          <w:szCs w:val="24"/>
          <w:highlight w:val="none"/>
          <w:u w:val="none"/>
          <w:lang w:val="en-US" w:eastAsia="zh-CN"/>
        </w:rPr>
        <w:t xml:space="preserve">                    </w:t>
      </w:r>
      <w:r>
        <w:rPr>
          <w:rFonts w:hint="eastAsia" w:ascii="宋体" w:hAnsi="宋体" w:eastAsia="宋体" w:cs="宋体"/>
          <w:b w:val="0"/>
          <w:bCs w:val="0"/>
          <w:sz w:val="24"/>
          <w:szCs w:val="24"/>
          <w:highlight w:val="none"/>
        </w:rPr>
        <w:t>项目编号：</w:t>
      </w:r>
      <w:r>
        <w:rPr>
          <w:rFonts w:hint="eastAsia" w:ascii="宋体" w:hAnsi="宋体" w:eastAsia="宋体" w:cs="宋体"/>
          <w:b w:val="0"/>
          <w:bCs w:val="0"/>
          <w:sz w:val="24"/>
          <w:szCs w:val="24"/>
          <w:highlight w:val="none"/>
          <w:u w:val="single"/>
          <w:lang w:val="en-US" w:eastAsia="zh-CN"/>
        </w:rPr>
        <w:t xml:space="preserve">          </w:t>
      </w:r>
    </w:p>
    <w:tbl>
      <w:tblPr>
        <w:tblStyle w:val="1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9"/>
        <w:gridCol w:w="2026"/>
        <w:gridCol w:w="2026"/>
        <w:gridCol w:w="2026"/>
      </w:tblGrid>
      <w:tr w14:paraId="5AFCEB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8628CE5">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采购包</w:t>
            </w:r>
          </w:p>
        </w:tc>
        <w:tc>
          <w:tcPr>
            <w:tcW w:w="1519" w:type="dxa"/>
          </w:tcPr>
          <w:p w14:paraId="5AB88EE3">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章节条目号</w:t>
            </w:r>
          </w:p>
        </w:tc>
        <w:tc>
          <w:tcPr>
            <w:tcW w:w="2026" w:type="dxa"/>
          </w:tcPr>
          <w:p w14:paraId="0182260D">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竞争性磋商文件规定的技术和服务要求</w:t>
            </w:r>
          </w:p>
        </w:tc>
        <w:tc>
          <w:tcPr>
            <w:tcW w:w="2026" w:type="dxa"/>
          </w:tcPr>
          <w:p w14:paraId="41177F3E">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响应文件响应承诺</w:t>
            </w:r>
          </w:p>
        </w:tc>
        <w:tc>
          <w:tcPr>
            <w:tcW w:w="2026" w:type="dxa"/>
          </w:tcPr>
          <w:p w14:paraId="082912BC">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是否偏离及说明</w:t>
            </w:r>
          </w:p>
        </w:tc>
      </w:tr>
      <w:tr w14:paraId="17AC61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E9BF94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1519" w:type="dxa"/>
          </w:tcPr>
          <w:p w14:paraId="1D5A3D77">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4D2ED53F">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12DD1155">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3947889D">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20729D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49D7E27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1519" w:type="dxa"/>
          </w:tcPr>
          <w:p w14:paraId="2B666D79">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5F25DDEF">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063B422B">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2E6BF84A">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383546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23960E11">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1519" w:type="dxa"/>
          </w:tcPr>
          <w:p w14:paraId="0395D2E4">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79C4D250">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3109D3B3">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26E3A686">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bl>
    <w:p w14:paraId="7C98D237">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注：（1）竞争性磋商文件（含技术和服务要求等）规定的各相关条款要求，如果</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在响应文件中没有以书面方式对竞争性磋商文件规定的各项要求和条款提出不满足或不响应或负偏离，则视为</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能够完全理解并满足本竞争性磋商文件规定的各相关条款要求。如有不满足或不响应或负偏离，不管是多么微小，</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都应在响应文件中按上表格式加以如实详细说明，否则，</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成交后才提出或者被采购人发现的任何负偏离或不响应或不满足均视为成交</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违约，按</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虚假承诺骗取成交处理，采购人将取消其成交</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资格，其磋商保证金（如果未签订合同）将不予退还，给采购人和采购代理机构造成损失的，还必须进行赔偿并负相关责任。</w:t>
      </w:r>
    </w:p>
    <w:p w14:paraId="401FD423">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（2）磋商文件不能详细列明采购标的的技术、服务要求，需经磋商由</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提供最终设计方案或解决方案的；或者</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需要说明的内容需要通过图片、视频等特殊表达；无法适用上表格式文字说明的，则</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可在本表中进行相应说明和页码索引，再另页具体提交应答。</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6FF2F4F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3D2D7855">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2D0AFAB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3CF9F927">
      <w:pPr>
        <w:pageBreakBefore w:val="0"/>
        <w:kinsoku/>
        <w:wordWrap/>
        <w:overflowPunct/>
        <w:topLinePunct w:val="0"/>
        <w:bidi w:val="0"/>
        <w:spacing w:line="400" w:lineRule="exact"/>
        <w:textAlignment w:val="auto"/>
        <w:rPr>
          <w:b/>
          <w:sz w:val="28"/>
          <w:highlight w:val="none"/>
        </w:rPr>
      </w:pPr>
      <w:r>
        <w:rPr>
          <w:b/>
          <w:sz w:val="28"/>
          <w:highlight w:val="none"/>
        </w:rPr>
        <w:br w:type="page"/>
      </w:r>
    </w:p>
    <w:p w14:paraId="4D308A1E">
      <w:pPr>
        <w:pStyle w:val="28"/>
        <w:pageBreakBefore w:val="0"/>
        <w:kinsoku/>
        <w:wordWrap/>
        <w:overflowPunct/>
        <w:topLinePunct w:val="0"/>
        <w:bidi w:val="0"/>
        <w:spacing w:line="400" w:lineRule="exact"/>
        <w:jc w:val="center"/>
        <w:textAlignment w:val="auto"/>
        <w:outlineLvl w:val="3"/>
        <w:rPr>
          <w:b/>
          <w:sz w:val="28"/>
          <w:highlight w:val="none"/>
        </w:rPr>
      </w:pPr>
      <w:r>
        <w:rPr>
          <w:b/>
          <w:sz w:val="28"/>
          <w:highlight w:val="none"/>
        </w:rPr>
        <w:t>附件5-2</w:t>
      </w:r>
      <w:r>
        <w:rPr>
          <w:rFonts w:hint="eastAsia"/>
          <w:b/>
          <w:sz w:val="28"/>
          <w:highlight w:val="none"/>
          <w:lang w:val="en-US" w:eastAsia="zh-CN"/>
        </w:rPr>
        <w:t xml:space="preserve"> </w:t>
      </w:r>
      <w:r>
        <w:rPr>
          <w:b/>
          <w:sz w:val="28"/>
          <w:highlight w:val="none"/>
        </w:rPr>
        <w:t>商务条件和其它事项响应表</w:t>
      </w:r>
    </w:p>
    <w:p w14:paraId="61C1401E">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4"/>
          <w:szCs w:val="24"/>
          <w:highlight w:val="none"/>
        </w:rPr>
      </w:pPr>
    </w:p>
    <w:p w14:paraId="292FD3C6">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项目名称：</w:t>
      </w:r>
      <w:r>
        <w:rPr>
          <w:rFonts w:hint="eastAsia" w:ascii="宋体" w:hAnsi="宋体" w:eastAsia="宋体" w:cs="宋体"/>
          <w:b w:val="0"/>
          <w:bCs w:val="0"/>
          <w:sz w:val="24"/>
          <w:szCs w:val="24"/>
          <w:highlight w:val="none"/>
          <w:u w:val="single"/>
          <w:lang w:val="en-US" w:eastAsia="zh-CN"/>
        </w:rPr>
        <w:t xml:space="preserve">          </w:t>
      </w:r>
      <w:r>
        <w:rPr>
          <w:rFonts w:hint="eastAsia" w:ascii="宋体" w:hAnsi="宋体" w:eastAsia="宋体" w:cs="宋体"/>
          <w:b w:val="0"/>
          <w:bCs w:val="0"/>
          <w:sz w:val="24"/>
          <w:szCs w:val="24"/>
          <w:highlight w:val="none"/>
          <w:u w:val="none"/>
          <w:lang w:val="en-US" w:eastAsia="zh-CN"/>
        </w:rPr>
        <w:t xml:space="preserve">                    </w:t>
      </w:r>
      <w:r>
        <w:rPr>
          <w:rFonts w:hint="eastAsia" w:ascii="宋体" w:hAnsi="宋体" w:eastAsia="宋体" w:cs="宋体"/>
          <w:b w:val="0"/>
          <w:bCs w:val="0"/>
          <w:sz w:val="24"/>
          <w:szCs w:val="24"/>
          <w:highlight w:val="none"/>
        </w:rPr>
        <w:t>项目编号：</w:t>
      </w:r>
      <w:r>
        <w:rPr>
          <w:rFonts w:hint="eastAsia" w:ascii="宋体" w:hAnsi="宋体" w:eastAsia="宋体" w:cs="宋体"/>
          <w:b w:val="0"/>
          <w:bCs w:val="0"/>
          <w:sz w:val="24"/>
          <w:szCs w:val="24"/>
          <w:highlight w:val="none"/>
          <w:u w:val="single"/>
          <w:lang w:val="en-US" w:eastAsia="zh-CN"/>
        </w:rPr>
        <w:t xml:space="preserve">          </w:t>
      </w:r>
    </w:p>
    <w:tbl>
      <w:tblPr>
        <w:tblStyle w:val="1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9"/>
        <w:gridCol w:w="1519"/>
        <w:gridCol w:w="2026"/>
        <w:gridCol w:w="2026"/>
        <w:gridCol w:w="2026"/>
      </w:tblGrid>
      <w:tr w14:paraId="62FD67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B798C37">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采购包</w:t>
            </w:r>
          </w:p>
        </w:tc>
        <w:tc>
          <w:tcPr>
            <w:tcW w:w="1519" w:type="dxa"/>
          </w:tcPr>
          <w:p w14:paraId="520D7169">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章节条目号</w:t>
            </w:r>
          </w:p>
        </w:tc>
        <w:tc>
          <w:tcPr>
            <w:tcW w:w="2026" w:type="dxa"/>
          </w:tcPr>
          <w:p w14:paraId="1502605A">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竞争性磋商文件规定的商务条件要求</w:t>
            </w:r>
          </w:p>
        </w:tc>
        <w:tc>
          <w:tcPr>
            <w:tcW w:w="2026" w:type="dxa"/>
          </w:tcPr>
          <w:p w14:paraId="54ECE204">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响应文件响应承诺</w:t>
            </w:r>
          </w:p>
        </w:tc>
        <w:tc>
          <w:tcPr>
            <w:tcW w:w="2026" w:type="dxa"/>
          </w:tcPr>
          <w:p w14:paraId="5FAE5B3C">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是否偏离及说明</w:t>
            </w:r>
          </w:p>
        </w:tc>
      </w:tr>
      <w:tr w14:paraId="11EBB9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7868878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1519" w:type="dxa"/>
          </w:tcPr>
          <w:p w14:paraId="25F0219A">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550F9107">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1503E464">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0A70205E">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521413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5568528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1519" w:type="dxa"/>
          </w:tcPr>
          <w:p w14:paraId="2994D969">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3EF7C2C3">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7DBB649F">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059BA393">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r w14:paraId="54A8ED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09" w:type="dxa"/>
          </w:tcPr>
          <w:p w14:paraId="12F7B12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1519" w:type="dxa"/>
          </w:tcPr>
          <w:p w14:paraId="0682D163">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73295502">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7109535B">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c>
          <w:tcPr>
            <w:tcW w:w="2026" w:type="dxa"/>
          </w:tcPr>
          <w:p w14:paraId="2F7FB7E1">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p>
        </w:tc>
      </w:tr>
    </w:tbl>
    <w:p w14:paraId="049A4898">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b/>
          <w:sz w:val="24"/>
          <w:szCs w:val="24"/>
          <w:highlight w:val="none"/>
        </w:rPr>
        <w:t>注：（1）竞争性磋商文件（含技术和服务要求等）规定的各相关条款要求，如果</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在响应文件中没有以书面方式对竞争性磋商文件规定的各项要求和条款提出不满足或不响应或负偏离，则视为</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能够完全理解并满足本竞争性磋商文件规定的各相关条款要求。如有不满足或不响应或负偏离，不管是多么微小，</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都应在响应文件中按上表格式加以如实详细说明，否则，</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成交后才提出或者被采购人发现的任何负偏离或不响应或不满足均视为成交</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违约，按</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虚假承诺骗取成交处理，采购人将取消其成交</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资格，其磋商保证金（如果未签订合同）将不予退还，给采购人和采购代理机构造成损失的，还必须进行赔偿并负相关责任。</w:t>
      </w:r>
    </w:p>
    <w:p w14:paraId="07672806">
      <w:pPr>
        <w:pStyle w:val="28"/>
        <w:keepNext w:val="0"/>
        <w:keepLines w:val="0"/>
        <w:pageBreakBefore w:val="0"/>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b/>
          <w:sz w:val="24"/>
          <w:szCs w:val="24"/>
          <w:highlight w:val="none"/>
        </w:rPr>
        <w:t>（2）磋商文件不能详细列明采购标的的技术、服务要求，需经磋商由</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提供最终设计方案或解决方案的；或者</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需要说明的内容需要通过图片、视频等特殊表达；无法适用上表格式文字说明的，则</w:t>
      </w:r>
      <w:r>
        <w:rPr>
          <w:rFonts w:hint="eastAsia" w:ascii="宋体" w:hAnsi="宋体" w:eastAsia="宋体" w:cs="宋体"/>
          <w:b/>
          <w:sz w:val="24"/>
          <w:szCs w:val="24"/>
          <w:highlight w:val="none"/>
          <w:lang w:eastAsia="zh-CN"/>
        </w:rPr>
        <w:t>投标人</w:t>
      </w:r>
      <w:r>
        <w:rPr>
          <w:rFonts w:hint="eastAsia" w:ascii="宋体" w:hAnsi="宋体" w:eastAsia="宋体" w:cs="宋体"/>
          <w:b/>
          <w:sz w:val="24"/>
          <w:szCs w:val="24"/>
          <w:highlight w:val="none"/>
        </w:rPr>
        <w:t>可在本表中进行相应说明和页码索引，再另页具体提交应答。</w:t>
      </w:r>
      <w:r>
        <w:rPr>
          <w:highlight w:val="none"/>
        </w:rPr>
        <w:br w:type="textWrapping"/>
      </w:r>
      <w:r>
        <w:rPr>
          <w:highlight w:val="none"/>
        </w:rPr>
        <w:br w:type="textWrapping"/>
      </w:r>
    </w:p>
    <w:p w14:paraId="411FF2C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586584B6">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6286160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0B778415">
      <w:pPr>
        <w:pageBreakBefore w:val="0"/>
        <w:kinsoku/>
        <w:wordWrap/>
        <w:overflowPunct/>
        <w:topLinePunct w:val="0"/>
        <w:bidi w:val="0"/>
        <w:spacing w:line="400" w:lineRule="exact"/>
        <w:textAlignment w:val="auto"/>
        <w:rPr>
          <w:b/>
          <w:sz w:val="28"/>
          <w:highlight w:val="none"/>
        </w:rPr>
      </w:pPr>
      <w:r>
        <w:rPr>
          <w:b/>
          <w:sz w:val="28"/>
          <w:highlight w:val="none"/>
        </w:rPr>
        <w:br w:type="page"/>
      </w:r>
    </w:p>
    <w:p w14:paraId="43A4C00B">
      <w:pPr>
        <w:pStyle w:val="28"/>
        <w:pageBreakBefore w:val="0"/>
        <w:kinsoku/>
        <w:wordWrap/>
        <w:overflowPunct/>
        <w:topLinePunct w:val="0"/>
        <w:bidi w:val="0"/>
        <w:spacing w:line="400" w:lineRule="exact"/>
        <w:jc w:val="center"/>
        <w:textAlignment w:val="auto"/>
        <w:outlineLvl w:val="2"/>
        <w:rPr>
          <w:highlight w:val="none"/>
        </w:rPr>
      </w:pPr>
      <w:r>
        <w:rPr>
          <w:b/>
          <w:sz w:val="28"/>
          <w:highlight w:val="none"/>
        </w:rPr>
        <w:t>附件6 相关技术、商务、服务响应承诺及资料</w:t>
      </w:r>
    </w:p>
    <w:p w14:paraId="5E814EB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p>
    <w:p w14:paraId="479F7A2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1.采购人或采购代理机构可以根据项目的特点和需要，在磋商文件中对</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需要提供的相关技术、商务、服务响应承诺及资料进行具体规定或附表格式，</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应按照磋商文件要求提供相关承诺及材料，并加盖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单位公章。</w:t>
      </w:r>
    </w:p>
    <w:p w14:paraId="5C1F8DE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2.如果没有特别要求的，</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根据磋商文件的要求以及特点，提供相关技术、商务、服务响应承诺及资料，格式自拟。</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32668E6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2A92C58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　　　　　</w:t>
      </w:r>
    </w:p>
    <w:p w14:paraId="2F42220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489552E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highlight w:val="none"/>
        </w:rPr>
        <w:br w:type="page"/>
      </w:r>
    </w:p>
    <w:p w14:paraId="078AEE5C">
      <w:pPr>
        <w:pStyle w:val="28"/>
        <w:pageBreakBefore w:val="0"/>
        <w:kinsoku/>
        <w:wordWrap/>
        <w:overflowPunct/>
        <w:topLinePunct w:val="0"/>
        <w:bidi w:val="0"/>
        <w:spacing w:line="400" w:lineRule="exact"/>
        <w:jc w:val="center"/>
        <w:textAlignment w:val="auto"/>
        <w:outlineLvl w:val="2"/>
        <w:rPr>
          <w:highlight w:val="none"/>
        </w:rPr>
      </w:pPr>
      <w:r>
        <w:rPr>
          <w:b/>
          <w:sz w:val="28"/>
          <w:highlight w:val="none"/>
        </w:rPr>
        <w:t xml:space="preserve">附件7 </w:t>
      </w:r>
      <w:r>
        <w:rPr>
          <w:rFonts w:hint="eastAsia"/>
          <w:b/>
          <w:sz w:val="28"/>
          <w:highlight w:val="none"/>
          <w:lang w:eastAsia="zh-CN"/>
        </w:rPr>
        <w:t>投标人</w:t>
      </w:r>
      <w:r>
        <w:rPr>
          <w:b/>
          <w:sz w:val="28"/>
          <w:highlight w:val="none"/>
        </w:rPr>
        <w:t>提交符合政府采购政策的证明材料</w:t>
      </w:r>
    </w:p>
    <w:p w14:paraId="188298FF">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附件7-1-1 中小企业声明函（若有）</w:t>
      </w:r>
    </w:p>
    <w:p w14:paraId="20DB2FE4">
      <w:pPr>
        <w:pStyle w:val="28"/>
        <w:pageBreakBefore w:val="0"/>
        <w:kinsoku/>
        <w:wordWrap/>
        <w:overflowPunct/>
        <w:topLinePunct w:val="0"/>
        <w:bidi w:val="0"/>
        <w:spacing w:line="400" w:lineRule="exact"/>
        <w:jc w:val="center"/>
        <w:textAlignment w:val="auto"/>
        <w:outlineLvl w:val="9"/>
        <w:rPr>
          <w:highlight w:val="none"/>
        </w:rPr>
      </w:pPr>
      <w:r>
        <w:rPr>
          <w:b/>
          <w:sz w:val="24"/>
          <w:highlight w:val="none"/>
        </w:rPr>
        <w:t>中小企业声明函</w:t>
      </w:r>
    </w:p>
    <w:p w14:paraId="24D77507">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本公司</w:t>
      </w:r>
      <w:r>
        <w:rPr>
          <w:rFonts w:hint="eastAsia" w:ascii="宋体" w:hAnsi="宋体" w:eastAsia="宋体" w:cs="宋体"/>
          <w:sz w:val="24"/>
          <w:szCs w:val="24"/>
          <w:highlight w:val="none"/>
          <w:u w:val="single"/>
        </w:rPr>
        <w:t>（联合体）</w:t>
      </w:r>
      <w:r>
        <w:rPr>
          <w:rFonts w:hint="eastAsia" w:ascii="宋体" w:hAnsi="宋体" w:eastAsia="宋体" w:cs="宋体"/>
          <w:sz w:val="24"/>
          <w:szCs w:val="24"/>
          <w:highlight w:val="none"/>
        </w:rPr>
        <w:t>郑重声明，根据《政府采购促进中小企业发展管理办法》（财库﹝2020﹞46号）的规定，本公司</w:t>
      </w:r>
      <w:r>
        <w:rPr>
          <w:rFonts w:hint="eastAsia" w:ascii="宋体" w:hAnsi="宋体" w:eastAsia="宋体" w:cs="宋体"/>
          <w:sz w:val="24"/>
          <w:szCs w:val="24"/>
          <w:highlight w:val="none"/>
          <w:u w:val="single"/>
        </w:rPr>
        <w:t>（联合体）</w:t>
      </w:r>
      <w:r>
        <w:rPr>
          <w:rFonts w:hint="eastAsia" w:ascii="宋体" w:hAnsi="宋体" w:eastAsia="宋体" w:cs="宋体"/>
          <w:sz w:val="24"/>
          <w:szCs w:val="24"/>
          <w:highlight w:val="none"/>
        </w:rPr>
        <w:t>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1ED1BA4">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行业；承建（承接）企业为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万元¹，属于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6935DD75">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行业；承建（承接）企业为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w:t>
      </w:r>
    </w:p>
    <w:p w14:paraId="2996AF94">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256008D3">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以上企业，不属于大企业的分支机构，不存在控股股东为大企业的情形，也不存在与大企业的负责人为同一人的情形。</w:t>
      </w:r>
    </w:p>
    <w:p w14:paraId="5A2C09CC">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本企业对上述声明内容的真实性负责。如有虚假，将依法承担相应责任。</w:t>
      </w:r>
    </w:p>
    <w:p w14:paraId="3CB4A98A">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p>
    <w:p w14:paraId="600702D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6FA2F91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　　　　　</w:t>
      </w:r>
    </w:p>
    <w:p w14:paraId="4736AFD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771B5BB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2"/>
          <w:highlight w:val="none"/>
        </w:rPr>
      </w:pPr>
    </w:p>
    <w:p w14:paraId="0A935471">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 xml:space="preserve"> ※注意：</w:t>
      </w:r>
    </w:p>
    <w:p w14:paraId="50EB90BB">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1、从业人员、营业收入、资产总额填报上一年度数据，无上一年度数据的新成立企业可不填报。</w:t>
      </w:r>
    </w:p>
    <w:p w14:paraId="4E6A959E">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w:t>
      </w:r>
      <w:r>
        <w:rPr>
          <w:rFonts w:hint="eastAsia" w:ascii="宋体" w:hAnsi="宋体" w:eastAsia="宋体" w:cs="宋体"/>
          <w:sz w:val="22"/>
          <w:szCs w:val="22"/>
          <w:highlight w:val="none"/>
          <w:lang w:eastAsia="zh-CN"/>
        </w:rPr>
        <w:t>投标人</w:t>
      </w:r>
      <w:r>
        <w:rPr>
          <w:rFonts w:hint="eastAsia" w:ascii="宋体" w:hAnsi="宋体" w:eastAsia="宋体" w:cs="宋体"/>
          <w:sz w:val="22"/>
          <w:szCs w:val="22"/>
          <w:highlight w:val="none"/>
        </w:rPr>
        <w:t>须按磋商文件中明确的所属行业填列，多品目项目中须按上表要求逐条填列，否则，其提供的中小企业声明将被判定为无效声明函，由此造成的后果由</w:t>
      </w:r>
      <w:r>
        <w:rPr>
          <w:rFonts w:hint="eastAsia" w:ascii="宋体" w:hAnsi="宋体" w:eastAsia="宋体" w:cs="宋体"/>
          <w:sz w:val="22"/>
          <w:szCs w:val="22"/>
          <w:highlight w:val="none"/>
          <w:lang w:eastAsia="zh-CN"/>
        </w:rPr>
        <w:t>投标人</w:t>
      </w:r>
      <w:r>
        <w:rPr>
          <w:rFonts w:hint="eastAsia" w:ascii="宋体" w:hAnsi="宋体" w:eastAsia="宋体" w:cs="宋体"/>
          <w:sz w:val="22"/>
          <w:szCs w:val="22"/>
          <w:highlight w:val="none"/>
        </w:rPr>
        <w:t>自行承担（涉及资格的按无效报价处理；涉及价格评审优惠的，不予认定）。</w:t>
      </w:r>
    </w:p>
    <w:p w14:paraId="2ACD0620">
      <w:pPr>
        <w:pStyle w:val="28"/>
        <w:keepNext w:val="0"/>
        <w:keepLines w:val="0"/>
        <w:pageBreakBefore w:val="0"/>
        <w:widowControl/>
        <w:kinsoku/>
        <w:wordWrap/>
        <w:overflowPunct/>
        <w:topLinePunct w:val="0"/>
        <w:autoSpaceDE/>
        <w:autoSpaceDN/>
        <w:bidi w:val="0"/>
        <w:adjustRightInd/>
        <w:snapToGrid/>
        <w:spacing w:line="400" w:lineRule="exact"/>
        <w:ind w:firstLine="482"/>
        <w:jc w:val="left"/>
        <w:textAlignment w:val="auto"/>
        <w:rPr>
          <w:highlight w:val="none"/>
        </w:rPr>
      </w:pPr>
      <w:r>
        <w:rPr>
          <w:rFonts w:hint="eastAsia" w:ascii="宋体" w:hAnsi="宋体" w:eastAsia="宋体" w:cs="宋体"/>
          <w:sz w:val="22"/>
          <w:szCs w:val="22"/>
          <w:highlight w:val="none"/>
        </w:rPr>
        <w:t>3、</w:t>
      </w:r>
      <w:r>
        <w:rPr>
          <w:rFonts w:hint="eastAsia" w:ascii="宋体" w:hAnsi="宋体" w:eastAsia="宋体" w:cs="宋体"/>
          <w:sz w:val="22"/>
          <w:szCs w:val="22"/>
          <w:highlight w:val="none"/>
          <w:lang w:eastAsia="zh-CN"/>
        </w:rPr>
        <w:t>投标人</w:t>
      </w:r>
      <w:r>
        <w:rPr>
          <w:rFonts w:hint="eastAsia" w:ascii="宋体" w:hAnsi="宋体" w:eastAsia="宋体" w:cs="宋体"/>
          <w:sz w:val="22"/>
          <w:szCs w:val="22"/>
          <w:highlight w:val="none"/>
        </w:rPr>
        <w:t>应当对其出具的《中小企业声明函》真实性负责，</w:t>
      </w:r>
      <w:r>
        <w:rPr>
          <w:rFonts w:hint="eastAsia" w:ascii="宋体" w:hAnsi="宋体" w:eastAsia="宋体" w:cs="宋体"/>
          <w:sz w:val="22"/>
          <w:szCs w:val="22"/>
          <w:highlight w:val="none"/>
          <w:lang w:eastAsia="zh-CN"/>
        </w:rPr>
        <w:t>投标人</w:t>
      </w:r>
      <w:r>
        <w:rPr>
          <w:rFonts w:hint="eastAsia" w:ascii="宋体" w:hAnsi="宋体" w:eastAsia="宋体" w:cs="宋体"/>
          <w:sz w:val="22"/>
          <w:szCs w:val="22"/>
          <w:highlight w:val="none"/>
        </w:rPr>
        <w:t>出具的《中小企业声明函》内容不实的，属于提供虚假材料谋取中标。在实际操作中，项目属性为货物且</w:t>
      </w:r>
      <w:r>
        <w:rPr>
          <w:rFonts w:hint="eastAsia" w:ascii="宋体" w:hAnsi="宋体" w:eastAsia="宋体" w:cs="宋体"/>
          <w:sz w:val="22"/>
          <w:szCs w:val="22"/>
          <w:highlight w:val="none"/>
          <w:lang w:eastAsia="zh-CN"/>
        </w:rPr>
        <w:t>投标人</w:t>
      </w:r>
      <w:r>
        <w:rPr>
          <w:rFonts w:hint="eastAsia" w:ascii="宋体" w:hAnsi="宋体" w:eastAsia="宋体" w:cs="宋体"/>
          <w:sz w:val="22"/>
          <w:szCs w:val="22"/>
          <w:highlight w:val="none"/>
        </w:rPr>
        <w:t>希望获得中小企业政策支持的，应从制造商处获得充分、准确的信息。对相关制造商信息了解不充分，或者不能确定相关信息真实、准确的，不建议出具《中小企业声明函》。</w:t>
      </w:r>
      <w:r>
        <w:rPr>
          <w:rFonts w:hint="eastAsia" w:ascii="宋体" w:hAnsi="宋体" w:eastAsia="宋体" w:cs="宋体"/>
          <w:sz w:val="24"/>
          <w:szCs w:val="24"/>
          <w:highlight w:val="none"/>
        </w:rPr>
        <w:br w:type="textWrapping"/>
      </w:r>
    </w:p>
    <w:p w14:paraId="6A7B5C84">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附件7-1-2 残疾人福利性单位声明函（若有）</w:t>
      </w:r>
    </w:p>
    <w:p w14:paraId="7C7CC18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郑重声明，根据《财政部、民政部、中国残疾人联合会关于促进残疾人就业政府采购政策的通知》（财库[2017]141号）、《政府采购促进中小企业发展管理办法》（财库〔2020〕46号）的规定，本</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为符合条件的残疾人福利性单位，且本</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参加贵单位的</w:t>
      </w:r>
      <w:r>
        <w:rPr>
          <w:rFonts w:hint="eastAsia" w:ascii="宋体" w:hAnsi="宋体" w:eastAsia="宋体" w:cs="宋体"/>
          <w:sz w:val="24"/>
          <w:szCs w:val="24"/>
          <w:highlight w:val="none"/>
          <w:u w:val="single"/>
        </w:rPr>
        <w:t>（填写“项目名称”）</w:t>
      </w:r>
      <w:r>
        <w:rPr>
          <w:rFonts w:hint="eastAsia" w:ascii="宋体" w:hAnsi="宋体" w:eastAsia="宋体" w:cs="宋体"/>
          <w:sz w:val="24"/>
          <w:szCs w:val="24"/>
          <w:highlight w:val="none"/>
        </w:rPr>
        <w:t>项目采购活动：</w:t>
      </w:r>
    </w:p>
    <w:p w14:paraId="08213A3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）提供本</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制造的</w:t>
      </w:r>
      <w:r>
        <w:rPr>
          <w:rFonts w:hint="eastAsia" w:ascii="宋体" w:hAnsi="宋体" w:eastAsia="宋体" w:cs="宋体"/>
          <w:sz w:val="24"/>
          <w:szCs w:val="24"/>
          <w:highlight w:val="none"/>
          <w:u w:val="single"/>
        </w:rPr>
        <w:t>（填写“所投采购包、品目号”）</w:t>
      </w:r>
      <w:r>
        <w:rPr>
          <w:rFonts w:hint="eastAsia" w:ascii="宋体" w:hAnsi="宋体" w:eastAsia="宋体" w:cs="宋体"/>
          <w:sz w:val="24"/>
          <w:szCs w:val="24"/>
          <w:highlight w:val="none"/>
        </w:rPr>
        <w:t>货物，或提供其他残疾人福利性单位制造的</w:t>
      </w:r>
      <w:r>
        <w:rPr>
          <w:rFonts w:hint="eastAsia" w:ascii="宋体" w:hAnsi="宋体" w:eastAsia="宋体" w:cs="宋体"/>
          <w:sz w:val="24"/>
          <w:szCs w:val="24"/>
          <w:highlight w:val="none"/>
          <w:u w:val="single"/>
        </w:rPr>
        <w:t>（填写“所投采购包、品目号”）</w:t>
      </w:r>
      <w:r>
        <w:rPr>
          <w:rFonts w:hint="eastAsia" w:ascii="宋体" w:hAnsi="宋体" w:eastAsia="宋体" w:cs="宋体"/>
          <w:sz w:val="24"/>
          <w:szCs w:val="24"/>
          <w:highlight w:val="none"/>
        </w:rPr>
        <w:t>货物（不包括使用非残疾人福利性单位注册商标的货物）。（说明：只有部分货物由残疾人福利企业制造的，在该货物后标★）</w:t>
      </w:r>
    </w:p>
    <w:p w14:paraId="0A6A73F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）由本</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承建的</w:t>
      </w:r>
      <w:r>
        <w:rPr>
          <w:rFonts w:hint="eastAsia" w:ascii="宋体" w:hAnsi="宋体" w:eastAsia="宋体" w:cs="宋体"/>
          <w:sz w:val="24"/>
          <w:szCs w:val="24"/>
          <w:highlight w:val="none"/>
          <w:u w:val="single"/>
        </w:rPr>
        <w:t>（填写“所投采购包、品目号”）</w:t>
      </w:r>
      <w:r>
        <w:rPr>
          <w:rFonts w:hint="eastAsia" w:ascii="宋体" w:hAnsi="宋体" w:eastAsia="宋体" w:cs="宋体"/>
          <w:sz w:val="24"/>
          <w:szCs w:val="24"/>
          <w:highlight w:val="none"/>
        </w:rPr>
        <w:t>工程</w:t>
      </w:r>
    </w:p>
    <w:p w14:paraId="67BA841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）由本</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承接的</w:t>
      </w:r>
      <w:r>
        <w:rPr>
          <w:rFonts w:hint="eastAsia" w:ascii="宋体" w:hAnsi="宋体" w:eastAsia="宋体" w:cs="宋体"/>
          <w:sz w:val="24"/>
          <w:szCs w:val="24"/>
          <w:highlight w:val="none"/>
          <w:u w:val="single"/>
        </w:rPr>
        <w:t>（填写“所投采购包、品目号”）</w:t>
      </w:r>
      <w:r>
        <w:rPr>
          <w:rFonts w:hint="eastAsia" w:ascii="宋体" w:hAnsi="宋体" w:eastAsia="宋体" w:cs="宋体"/>
          <w:sz w:val="24"/>
          <w:szCs w:val="24"/>
          <w:highlight w:val="none"/>
        </w:rPr>
        <w:t>服务；</w:t>
      </w:r>
    </w:p>
    <w:p w14:paraId="2F47B15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对上述声明的真实性负责。如有虚假，将依法承担相应责任。</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4792FC5F">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28DD2D2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608396E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53D5F0E2">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备注：（1）若</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不符合残疾人福利性单位，不用提供本声明函，否则视为提供虚假材料。</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在提交最后报价前，如果已向磋商小组提交上述声明函，视同为</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符合残疾人福利性单位，享受价格扣除的优惠政策。</w:t>
      </w:r>
    </w:p>
    <w:p w14:paraId="511FED91">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（2）请</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按照实际情况编制填写本声明函，并在相应的（）中打“√”。</w:t>
      </w:r>
    </w:p>
    <w:p w14:paraId="1B1FFBBB">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（3）纸质响应文件正本中的本声明函（若有）应为原件。</w:t>
      </w:r>
    </w:p>
    <w:p w14:paraId="71FFC5A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（4）若《残疾人福利性单位声明函》内容不真实，视为提供虚假材料。</w:t>
      </w:r>
    </w:p>
    <w:p w14:paraId="0958CEFB">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rPr>
        <w:br w:type="textWrapping"/>
      </w:r>
      <w:r>
        <w:rPr>
          <w:highlight w:val="none"/>
        </w:rPr>
        <w:br w:type="page"/>
      </w:r>
    </w:p>
    <w:p w14:paraId="2E7036B9">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附件7-1-3 监狱企业证明材料</w:t>
      </w:r>
    </w:p>
    <w:p w14:paraId="40B706DF">
      <w:pPr>
        <w:pStyle w:val="28"/>
        <w:pageBreakBefore w:val="0"/>
        <w:kinsoku/>
        <w:wordWrap/>
        <w:overflowPunct/>
        <w:topLinePunct w:val="0"/>
        <w:bidi w:val="0"/>
        <w:spacing w:line="400" w:lineRule="exact"/>
        <w:ind w:firstLine="480"/>
        <w:jc w:val="left"/>
        <w:textAlignment w:val="auto"/>
        <w:rPr>
          <w:sz w:val="24"/>
          <w:szCs w:val="24"/>
          <w:highlight w:val="none"/>
        </w:rPr>
      </w:pPr>
      <w:r>
        <w:rPr>
          <w:rFonts w:hint="eastAsia"/>
          <w:sz w:val="24"/>
          <w:szCs w:val="24"/>
          <w:highlight w:val="none"/>
          <w:lang w:eastAsia="zh-CN"/>
        </w:rPr>
        <w:t>投标人</w:t>
      </w:r>
      <w:r>
        <w:rPr>
          <w:sz w:val="24"/>
          <w:szCs w:val="24"/>
          <w:highlight w:val="none"/>
        </w:rPr>
        <w:t>为监狱企业，提供本单位承担的工程，并在响应文件中提供省级以上监狱管理局、戒毒管理局（含新疆生产建设兵团）出具的属于监狱企业的证明文件。</w:t>
      </w:r>
    </w:p>
    <w:p w14:paraId="2A8C5AEA">
      <w:pPr>
        <w:pStyle w:val="28"/>
        <w:pageBreakBefore w:val="0"/>
        <w:kinsoku/>
        <w:wordWrap/>
        <w:overflowPunct/>
        <w:topLinePunct w:val="0"/>
        <w:bidi w:val="0"/>
        <w:spacing w:line="400" w:lineRule="exact"/>
        <w:jc w:val="left"/>
        <w:textAlignment w:val="auto"/>
        <w:rPr>
          <w:highlight w:val="none"/>
        </w:rPr>
      </w:pPr>
      <w:r>
        <w:rPr>
          <w:highlight w:val="none"/>
        </w:rPr>
        <w:t xml:space="preserve"> </w:t>
      </w:r>
      <w:r>
        <w:rPr>
          <w:highlight w:val="none"/>
        </w:rPr>
        <w:br w:type="textWrapping"/>
      </w:r>
      <w:r>
        <w:rPr>
          <w:highlight w:val="none"/>
        </w:rPr>
        <w:br w:type="page"/>
      </w:r>
    </w:p>
    <w:p w14:paraId="62921251">
      <w:pPr>
        <w:pStyle w:val="28"/>
        <w:pageBreakBefore w:val="0"/>
        <w:kinsoku/>
        <w:wordWrap/>
        <w:overflowPunct/>
        <w:topLinePunct w:val="0"/>
        <w:bidi w:val="0"/>
        <w:spacing w:line="400" w:lineRule="exact"/>
        <w:jc w:val="center"/>
        <w:textAlignment w:val="auto"/>
        <w:outlineLvl w:val="3"/>
        <w:rPr>
          <w:highlight w:val="none"/>
        </w:rPr>
      </w:pPr>
      <w:r>
        <w:rPr>
          <w:b/>
          <w:sz w:val="24"/>
          <w:highlight w:val="none"/>
        </w:rPr>
        <w:t>附件7-2 优先类节能产品、环境标志产品价格扣除证明材料（若有）</w:t>
      </w:r>
    </w:p>
    <w:p w14:paraId="433D105F">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sz w:val="24"/>
          <w:szCs w:val="24"/>
          <w:highlight w:val="none"/>
        </w:rPr>
      </w:pPr>
    </w:p>
    <w:p w14:paraId="44DEE166">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b w:val="0"/>
          <w:bCs w:val="0"/>
          <w:sz w:val="24"/>
          <w:szCs w:val="24"/>
          <w:highlight w:val="none"/>
          <w:lang w:val="en-US"/>
        </w:rPr>
      </w:pPr>
      <w:r>
        <w:rPr>
          <w:rFonts w:hint="eastAsia" w:ascii="宋体" w:hAnsi="宋体" w:eastAsia="宋体" w:cs="宋体"/>
          <w:b w:val="0"/>
          <w:bCs w:val="0"/>
          <w:sz w:val="24"/>
          <w:szCs w:val="24"/>
          <w:highlight w:val="none"/>
        </w:rPr>
        <w:t>项目名称：</w:t>
      </w:r>
      <w:r>
        <w:rPr>
          <w:rFonts w:hint="eastAsia" w:ascii="宋体" w:hAnsi="宋体" w:eastAsia="宋体" w:cs="宋体"/>
          <w:b w:val="0"/>
          <w:bCs w:val="0"/>
          <w:sz w:val="24"/>
          <w:szCs w:val="24"/>
          <w:highlight w:val="none"/>
          <w:u w:val="single"/>
          <w:lang w:val="en-US" w:eastAsia="zh-CN"/>
        </w:rPr>
        <w:t xml:space="preserve">          </w:t>
      </w:r>
      <w:r>
        <w:rPr>
          <w:rFonts w:hint="eastAsia" w:ascii="宋体" w:hAnsi="宋体" w:eastAsia="宋体" w:cs="宋体"/>
          <w:b w:val="0"/>
          <w:bCs w:val="0"/>
          <w:sz w:val="24"/>
          <w:szCs w:val="24"/>
          <w:highlight w:val="none"/>
          <w:u w:val="none"/>
          <w:lang w:val="en-US" w:eastAsia="zh-CN"/>
        </w:rPr>
        <w:t xml:space="preserve">                    </w:t>
      </w:r>
      <w:r>
        <w:rPr>
          <w:rFonts w:hint="eastAsia" w:ascii="宋体" w:hAnsi="宋体" w:eastAsia="宋体" w:cs="宋体"/>
          <w:b w:val="0"/>
          <w:bCs w:val="0"/>
          <w:sz w:val="24"/>
          <w:szCs w:val="24"/>
          <w:highlight w:val="none"/>
        </w:rPr>
        <w:t>项目编号：</w:t>
      </w:r>
      <w:r>
        <w:rPr>
          <w:rFonts w:hint="eastAsia" w:ascii="宋体" w:hAnsi="宋体" w:eastAsia="宋体" w:cs="宋体"/>
          <w:b w:val="0"/>
          <w:bCs w:val="0"/>
          <w:sz w:val="24"/>
          <w:szCs w:val="24"/>
          <w:highlight w:val="none"/>
          <w:u w:val="single"/>
          <w:lang w:val="en-US" w:eastAsia="zh-CN"/>
        </w:rPr>
        <w:t xml:space="preserve">          </w:t>
      </w:r>
    </w:p>
    <w:tbl>
      <w:tblPr>
        <w:tblStyle w:val="1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4748"/>
      </w:tblGrid>
      <w:tr w14:paraId="22D793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02254A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7122" w:type="dxa"/>
            <w:gridSpan w:val="3"/>
          </w:tcPr>
          <w:p w14:paraId="568CE546">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本采购包内属于节能、环境标志产品情况</w:t>
            </w:r>
          </w:p>
        </w:tc>
      </w:tr>
      <w:tr w14:paraId="5DF97E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3FECBCE">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采购包</w:t>
            </w:r>
          </w:p>
        </w:tc>
        <w:tc>
          <w:tcPr>
            <w:tcW w:w="1187" w:type="dxa"/>
          </w:tcPr>
          <w:p w14:paraId="5EF16080">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品目号</w:t>
            </w:r>
          </w:p>
        </w:tc>
        <w:tc>
          <w:tcPr>
            <w:tcW w:w="1187" w:type="dxa"/>
          </w:tcPr>
          <w:p w14:paraId="2D811F7F">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产品名称</w:t>
            </w:r>
          </w:p>
        </w:tc>
        <w:tc>
          <w:tcPr>
            <w:tcW w:w="4748" w:type="dxa"/>
          </w:tcPr>
          <w:p w14:paraId="55578726">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认证种类</w:t>
            </w:r>
          </w:p>
        </w:tc>
      </w:tr>
      <w:tr w14:paraId="10787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14:paraId="71A1FB52">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87" w:type="dxa"/>
          </w:tcPr>
          <w:p w14:paraId="7C7E9EF0">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187" w:type="dxa"/>
          </w:tcPr>
          <w:p w14:paraId="38272BD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4748" w:type="dxa"/>
          </w:tcPr>
          <w:p w14:paraId="0C30508C">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自行填写种类，并上传证明附件以便评审查看</w:t>
            </w:r>
          </w:p>
        </w:tc>
      </w:tr>
      <w:tr w14:paraId="7DEFA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14:paraId="0625606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1187" w:type="dxa"/>
          </w:tcPr>
          <w:p w14:paraId="55EF9B6F">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14:paraId="2BE32853">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p>
        </w:tc>
        <w:tc>
          <w:tcPr>
            <w:tcW w:w="1187" w:type="dxa"/>
          </w:tcPr>
          <w:p w14:paraId="326DC8C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c>
          <w:tcPr>
            <w:tcW w:w="4748" w:type="dxa"/>
          </w:tcPr>
          <w:p w14:paraId="6166115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highlight w:val="none"/>
              </w:rPr>
            </w:pPr>
          </w:p>
        </w:tc>
      </w:tr>
      <w:tr w14:paraId="76D5ED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9A36900">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备注</w:t>
            </w:r>
          </w:p>
        </w:tc>
        <w:tc>
          <w:tcPr>
            <w:tcW w:w="7122" w:type="dxa"/>
            <w:gridSpan w:val="3"/>
          </w:tcPr>
          <w:p w14:paraId="245465DF">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p>
        </w:tc>
      </w:tr>
    </w:tbl>
    <w:p w14:paraId="29685572">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※注意：</w:t>
      </w:r>
    </w:p>
    <w:p w14:paraId="25E7A7F9">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1、对节能、环境标志产品计算价格扣除时，只依据投标（响应）文件“投标（响应）报价明细表”以及“优先类节能产品、环境标志产品证明材料（价格扣除适用，若有）。</w:t>
      </w:r>
    </w:p>
    <w:p w14:paraId="2D81F885">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2、本表以采购包为单位，不同采购包请分别填写；同一采购包请按照其品目号顺序分别填写。</w:t>
      </w:r>
    </w:p>
    <w:p w14:paraId="5F8E41F4">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3、具体统计、计算：</w:t>
      </w:r>
    </w:p>
    <w:p w14:paraId="218CE4B0">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3.1若同一采购包内的单个或多个货物取得或同时取得节能、环境标志产品等两项或多项认证的，均按照单个货物对应一项认证的原则统计、计算1次。</w:t>
      </w:r>
    </w:p>
    <w:p w14:paraId="431D76FF">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3.2计算结果若除不尽，可四舍五入保留到小数点后两位。</w:t>
      </w:r>
    </w:p>
    <w:p w14:paraId="18A36122">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3.3投标人(</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)按照采购文件要求认真统计、计算。</w:t>
      </w:r>
    </w:p>
    <w:p w14:paraId="761DDB4E">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3.4若无节能、环境标志产品，不填写本表。</w:t>
      </w:r>
    </w:p>
    <w:p w14:paraId="74F80453">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3.5强制类节能产品不享受价格扣除。</w:t>
      </w:r>
    </w:p>
    <w:p w14:paraId="1E4950A7">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p>
    <w:p w14:paraId="0F85EDE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4F82C588">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w:t>
      </w:r>
    </w:p>
    <w:p w14:paraId="4F02D799">
      <w:pPr>
        <w:pageBreakBefore w:val="0"/>
        <w:kinsoku/>
        <w:wordWrap/>
        <w:overflowPunct/>
        <w:topLinePunct w:val="0"/>
        <w:bidi w:val="0"/>
        <w:spacing w:line="400" w:lineRule="exact"/>
        <w:ind w:firstLine="480" w:firstLineChars="200"/>
        <w:textAlignment w:val="auto"/>
        <w:rPr>
          <w:b/>
          <w:sz w:val="28"/>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r>
        <w:rPr>
          <w:b/>
          <w:sz w:val="28"/>
          <w:highlight w:val="none"/>
        </w:rPr>
        <w:br w:type="page"/>
      </w:r>
    </w:p>
    <w:p w14:paraId="5BB31EB7">
      <w:pPr>
        <w:pStyle w:val="28"/>
        <w:pageBreakBefore w:val="0"/>
        <w:kinsoku/>
        <w:wordWrap/>
        <w:overflowPunct/>
        <w:topLinePunct w:val="0"/>
        <w:bidi w:val="0"/>
        <w:spacing w:line="400" w:lineRule="exact"/>
        <w:jc w:val="center"/>
        <w:textAlignment w:val="auto"/>
        <w:outlineLvl w:val="2"/>
        <w:rPr>
          <w:b/>
          <w:sz w:val="28"/>
          <w:highlight w:val="none"/>
        </w:rPr>
      </w:pPr>
      <w:bookmarkStart w:id="24" w:name="_Toc14275"/>
      <w:r>
        <w:rPr>
          <w:b/>
          <w:sz w:val="28"/>
          <w:highlight w:val="none"/>
        </w:rPr>
        <w:t>附件8 要求作为响应文件组成部分的其他内容（若有）</w:t>
      </w:r>
      <w:bookmarkEnd w:id="24"/>
    </w:p>
    <w:p w14:paraId="6EA01AA2">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p>
    <w:p w14:paraId="6FBDEE4E">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1、采购人或采购代理机构可以根据项目的特点和需要，在磋商文件中对要求作为响应文件组成部分的其他内容进行具体规定或附表格式，</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应按照磋商文件要求提供相关承诺及材料，并加盖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单位公章。</w:t>
      </w:r>
    </w:p>
    <w:p w14:paraId="50090199">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根据自身实际情况编写有关资料包括如</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单位简介、竞争性磋商文件要求提供或</w:t>
      </w: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自已认为体现自身优势，需要补充说明的其它资料，格式自拟。</w:t>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r>
        <w:rPr>
          <w:rFonts w:hint="eastAsia" w:ascii="宋体" w:hAnsi="宋体" w:eastAsia="宋体" w:cs="宋体"/>
          <w:sz w:val="24"/>
          <w:szCs w:val="24"/>
          <w:highlight w:val="none"/>
        </w:rPr>
        <w:br w:type="textWrapping"/>
      </w:r>
    </w:p>
    <w:p w14:paraId="26BC1ACC">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代表</w:t>
      </w:r>
      <w:r>
        <w:rPr>
          <w:rFonts w:hint="eastAsia" w:ascii="宋体" w:hAnsi="宋体" w:eastAsia="宋体" w:cs="宋体"/>
          <w:sz w:val="24"/>
          <w:szCs w:val="24"/>
          <w:highlight w:val="none"/>
          <w:u w:val="single"/>
        </w:rPr>
        <w:t>　　　（签字）</w:t>
      </w:r>
    </w:p>
    <w:p w14:paraId="3F0951F0">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投标人</w:t>
      </w:r>
      <w:r>
        <w:rPr>
          <w:rFonts w:hint="eastAsia" w:ascii="宋体" w:hAnsi="宋体" w:eastAsia="宋体" w:cs="宋体"/>
          <w:sz w:val="24"/>
          <w:szCs w:val="24"/>
          <w:highlight w:val="none"/>
        </w:rPr>
        <w:t>名称</w:t>
      </w:r>
      <w:r>
        <w:rPr>
          <w:rFonts w:hint="eastAsia" w:ascii="宋体" w:hAnsi="宋体" w:eastAsia="宋体" w:cs="宋体"/>
          <w:sz w:val="24"/>
          <w:szCs w:val="24"/>
          <w:highlight w:val="none"/>
          <w:u w:val="single"/>
        </w:rPr>
        <w:t>　　　（全称并加盖公章）　　　</w:t>
      </w:r>
    </w:p>
    <w:p w14:paraId="77DAD8F3">
      <w:pPr>
        <w:pStyle w:val="28"/>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w:t>
      </w:r>
      <w:r>
        <w:rPr>
          <w:rFonts w:hint="eastAsia" w:ascii="宋体" w:hAnsi="宋体" w:eastAsia="宋体" w:cs="宋体"/>
          <w:sz w:val="24"/>
          <w:szCs w:val="24"/>
          <w:highlight w:val="none"/>
        </w:rPr>
        <w:t>日</w:t>
      </w:r>
    </w:p>
    <w:p w14:paraId="46307370">
      <w:pPr>
        <w:pageBreakBefore w:val="0"/>
        <w:kinsoku/>
        <w:wordWrap/>
        <w:overflowPunct/>
        <w:topLinePunct w:val="0"/>
        <w:bidi w:val="0"/>
        <w:spacing w:line="400" w:lineRule="exact"/>
        <w:textAlignment w:val="auto"/>
        <w:rPr>
          <w:highlight w:val="none"/>
        </w:rPr>
      </w:pPr>
      <w:r>
        <w:rPr>
          <w:highlight w:val="none"/>
        </w:rPr>
        <w:br w:type="page"/>
      </w:r>
    </w:p>
    <w:p w14:paraId="6A473C4D">
      <w:pPr>
        <w:pStyle w:val="2"/>
        <w:pageBreakBefore w:val="0"/>
        <w:kinsoku/>
        <w:wordWrap/>
        <w:overflowPunct/>
        <w:topLinePunct w:val="0"/>
        <w:bidi w:val="0"/>
        <w:spacing w:line="400" w:lineRule="exact"/>
        <w:jc w:val="center"/>
        <w:textAlignment w:val="auto"/>
        <w:rPr>
          <w:rFonts w:hint="eastAsia" w:eastAsia="宋体"/>
          <w:color w:val="auto"/>
          <w:highlight w:val="none"/>
          <w:lang w:eastAsia="zh-CN"/>
        </w:rPr>
      </w:pPr>
      <w:bookmarkStart w:id="25" w:name="_Toc31886"/>
      <w:bookmarkStart w:id="26" w:name="_Toc4858"/>
      <w:bookmarkStart w:id="27" w:name="_Toc1708"/>
      <w:r>
        <w:rPr>
          <w:rFonts w:hint="eastAsia"/>
          <w:color w:val="auto"/>
          <w:highlight w:val="none"/>
          <w:lang w:eastAsia="zh-CN"/>
        </w:rPr>
        <w:t>第六章</w:t>
      </w:r>
      <w:r>
        <w:rPr>
          <w:rFonts w:hint="eastAsia"/>
          <w:color w:val="auto"/>
          <w:highlight w:val="none"/>
          <w:lang w:val="en-US" w:eastAsia="zh-CN"/>
        </w:rPr>
        <w:t xml:space="preserve">  </w:t>
      </w:r>
      <w:r>
        <w:rPr>
          <w:rFonts w:hint="eastAsia"/>
          <w:color w:val="auto"/>
          <w:highlight w:val="none"/>
          <w:lang w:eastAsia="zh-CN"/>
        </w:rPr>
        <w:t>最终</w:t>
      </w:r>
      <w:r>
        <w:rPr>
          <w:rFonts w:hint="eastAsia"/>
          <w:color w:val="auto"/>
          <w:highlight w:val="none"/>
        </w:rPr>
        <w:t>报价</w:t>
      </w:r>
      <w:r>
        <w:rPr>
          <w:rFonts w:hint="eastAsia"/>
          <w:color w:val="auto"/>
          <w:highlight w:val="none"/>
          <w:lang w:eastAsia="zh-CN"/>
        </w:rPr>
        <w:t>（参考格式）</w:t>
      </w:r>
      <w:bookmarkEnd w:id="25"/>
      <w:bookmarkEnd w:id="26"/>
      <w:bookmarkEnd w:id="27"/>
    </w:p>
    <w:p w14:paraId="00F69A53">
      <w:pPr>
        <w:pageBreakBefore w:val="0"/>
        <w:kinsoku/>
        <w:wordWrap/>
        <w:overflowPunct/>
        <w:topLinePunct w:val="0"/>
        <w:bidi w:val="0"/>
        <w:spacing w:line="400" w:lineRule="exact"/>
        <w:textAlignment w:val="auto"/>
        <w:rPr>
          <w:rFonts w:hint="eastAsia" w:ascii="宋体" w:hAnsi="宋体" w:cs="宋体"/>
          <w:b/>
          <w:color w:val="auto"/>
          <w:sz w:val="24"/>
          <w:highlight w:val="none"/>
        </w:rPr>
      </w:pPr>
    </w:p>
    <w:p w14:paraId="61437386">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说明：</w:t>
      </w:r>
    </w:p>
    <w:p w14:paraId="06CA1C97">
      <w:pPr>
        <w:pageBreakBefore w:val="0"/>
        <w:kinsoku/>
        <w:wordWrap/>
        <w:overflowPunct/>
        <w:topLinePunct w:val="0"/>
        <w:bidi w:val="0"/>
        <w:spacing w:line="400" w:lineRule="exact"/>
        <w:ind w:firstLine="562" w:firstLineChars="20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本章表格无需装入首次响应文件，在开标现场</w:t>
      </w:r>
      <w:r>
        <w:rPr>
          <w:rFonts w:hint="eastAsia" w:ascii="宋体" w:hAnsi="宋体" w:eastAsia="宋体" w:cs="宋体"/>
          <w:b/>
          <w:color w:val="auto"/>
          <w:sz w:val="28"/>
          <w:szCs w:val="28"/>
          <w:highlight w:val="none"/>
          <w:lang w:eastAsia="zh-CN"/>
        </w:rPr>
        <w:t>磋商</w:t>
      </w:r>
      <w:r>
        <w:rPr>
          <w:rFonts w:hint="eastAsia" w:ascii="宋体" w:hAnsi="宋体" w:eastAsia="宋体" w:cs="宋体"/>
          <w:b/>
          <w:color w:val="auto"/>
          <w:sz w:val="28"/>
          <w:szCs w:val="28"/>
          <w:highlight w:val="none"/>
        </w:rPr>
        <w:t>后单独密封提交。</w:t>
      </w:r>
      <w:r>
        <w:rPr>
          <w:rFonts w:hint="eastAsia" w:ascii="宋体" w:hAnsi="宋体" w:eastAsia="宋体" w:cs="宋体"/>
          <w:b/>
          <w:color w:val="auto"/>
          <w:sz w:val="28"/>
          <w:szCs w:val="28"/>
          <w:highlight w:val="none"/>
          <w:lang w:eastAsia="zh-CN"/>
        </w:rPr>
        <w:t>投标人</w:t>
      </w:r>
      <w:r>
        <w:rPr>
          <w:rFonts w:hint="eastAsia" w:ascii="宋体" w:hAnsi="宋体" w:eastAsia="宋体" w:cs="宋体"/>
          <w:b/>
          <w:color w:val="auto"/>
          <w:sz w:val="28"/>
          <w:szCs w:val="28"/>
          <w:highlight w:val="none"/>
        </w:rPr>
        <w:t>代表应携带身份证原件至</w:t>
      </w:r>
      <w:r>
        <w:rPr>
          <w:rFonts w:hint="eastAsia" w:ascii="宋体" w:hAnsi="宋体" w:eastAsia="宋体" w:cs="宋体"/>
          <w:b/>
          <w:color w:val="auto"/>
          <w:sz w:val="28"/>
          <w:szCs w:val="28"/>
          <w:highlight w:val="none"/>
          <w:lang w:eastAsia="zh-CN"/>
        </w:rPr>
        <w:t>磋商</w:t>
      </w:r>
      <w:r>
        <w:rPr>
          <w:rFonts w:hint="eastAsia" w:ascii="宋体" w:hAnsi="宋体" w:eastAsia="宋体" w:cs="宋体"/>
          <w:b/>
          <w:color w:val="auto"/>
          <w:sz w:val="28"/>
          <w:szCs w:val="28"/>
          <w:highlight w:val="none"/>
        </w:rPr>
        <w:t>现场。</w:t>
      </w:r>
    </w:p>
    <w:p w14:paraId="39531D58">
      <w:pPr>
        <w:pStyle w:val="32"/>
        <w:pageBreakBefore w:val="0"/>
        <w:kinsoku/>
        <w:wordWrap/>
        <w:overflowPunct/>
        <w:topLinePunct w:val="0"/>
        <w:bidi w:val="0"/>
        <w:spacing w:line="400" w:lineRule="exact"/>
        <w:textAlignment w:val="auto"/>
        <w:rPr>
          <w:rFonts w:hint="eastAsia"/>
          <w:color w:val="auto"/>
          <w:highlight w:val="none"/>
          <w:lang w:eastAsia="zh-CN"/>
        </w:rPr>
      </w:pPr>
    </w:p>
    <w:p w14:paraId="3AE0BC3A">
      <w:pPr>
        <w:pStyle w:val="16"/>
        <w:pageBreakBefore w:val="0"/>
        <w:widowControl/>
        <w:kinsoku/>
        <w:wordWrap/>
        <w:overflowPunct/>
        <w:topLinePunct w:val="0"/>
        <w:bidi w:val="0"/>
        <w:spacing w:before="0" w:beforeAutospacing="0" w:after="0" w:afterAutospacing="0" w:line="400" w:lineRule="exact"/>
        <w:jc w:val="center"/>
        <w:textAlignment w:val="auto"/>
        <w:rPr>
          <w:rFonts w:hint="eastAsia" w:ascii="宋体" w:hAnsi="宋体" w:cs="宋体"/>
          <w:b/>
          <w:bCs/>
          <w:color w:val="auto"/>
          <w:sz w:val="28"/>
          <w:szCs w:val="28"/>
          <w:highlight w:val="none"/>
        </w:rPr>
      </w:pPr>
    </w:p>
    <w:p w14:paraId="52F228F5">
      <w:pPr>
        <w:pageBreakBefore w:val="0"/>
        <w:kinsoku/>
        <w:wordWrap/>
        <w:overflowPunct/>
        <w:topLinePunct w:val="0"/>
        <w:bidi w:val="0"/>
        <w:spacing w:line="400" w:lineRule="exact"/>
        <w:textAlignment w:val="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br w:type="page"/>
      </w:r>
    </w:p>
    <w:p w14:paraId="4CC554B2">
      <w:pPr>
        <w:pStyle w:val="16"/>
        <w:pageBreakBefore w:val="0"/>
        <w:widowControl/>
        <w:kinsoku/>
        <w:wordWrap/>
        <w:overflowPunct/>
        <w:topLinePunct w:val="0"/>
        <w:bidi w:val="0"/>
        <w:spacing w:before="0" w:beforeAutospacing="0" w:after="0" w:afterAutospacing="0" w:line="400" w:lineRule="exact"/>
        <w:jc w:val="center"/>
        <w:textAlignment w:val="auto"/>
        <w:rPr>
          <w:rFonts w:hint="eastAsia" w:ascii="宋体" w:hAnsi="宋体" w:cs="宋体" w:eastAsiaTheme="minorEastAsia"/>
          <w:b/>
          <w:bCs/>
          <w:color w:val="auto"/>
          <w:sz w:val="32"/>
          <w:szCs w:val="32"/>
          <w:highlight w:val="none"/>
          <w:lang w:eastAsia="zh-CN"/>
        </w:rPr>
      </w:pPr>
      <w:r>
        <w:rPr>
          <w:rFonts w:hint="eastAsia" w:ascii="宋体" w:hAnsi="宋体" w:cs="宋体"/>
          <w:b/>
          <w:bCs/>
          <w:color w:val="auto"/>
          <w:sz w:val="32"/>
          <w:szCs w:val="32"/>
          <w:highlight w:val="none"/>
        </w:rPr>
        <w:t>报价一览表</w:t>
      </w:r>
      <w:r>
        <w:rPr>
          <w:rFonts w:hint="eastAsia" w:ascii="宋体" w:hAnsi="宋体" w:cs="宋体"/>
          <w:b/>
          <w:bCs/>
          <w:color w:val="auto"/>
          <w:sz w:val="32"/>
          <w:szCs w:val="32"/>
          <w:highlight w:val="none"/>
          <w:lang w:eastAsia="zh-CN"/>
        </w:rPr>
        <w:t>（</w:t>
      </w:r>
      <w:r>
        <w:rPr>
          <w:rFonts w:hint="eastAsia" w:ascii="宋体" w:hAnsi="宋体" w:cs="宋体"/>
          <w:b/>
          <w:bCs/>
          <w:color w:val="auto"/>
          <w:sz w:val="32"/>
          <w:szCs w:val="32"/>
          <w:highlight w:val="none"/>
        </w:rPr>
        <w:t>最后</w:t>
      </w:r>
      <w:r>
        <w:rPr>
          <w:rFonts w:hint="eastAsia" w:ascii="宋体" w:hAnsi="宋体" w:cs="宋体"/>
          <w:b/>
          <w:bCs/>
          <w:color w:val="auto"/>
          <w:sz w:val="32"/>
          <w:szCs w:val="32"/>
          <w:highlight w:val="none"/>
          <w:lang w:val="en-US" w:eastAsia="zh-CN"/>
        </w:rPr>
        <w:t>报价</w:t>
      </w:r>
      <w:r>
        <w:rPr>
          <w:rFonts w:hint="eastAsia" w:ascii="宋体" w:hAnsi="宋体" w:cs="宋体"/>
          <w:b/>
          <w:bCs/>
          <w:color w:val="auto"/>
          <w:sz w:val="32"/>
          <w:szCs w:val="32"/>
          <w:highlight w:val="none"/>
          <w:lang w:eastAsia="zh-CN"/>
        </w:rPr>
        <w:t>）</w:t>
      </w:r>
    </w:p>
    <w:p w14:paraId="0981C3E3">
      <w:pPr>
        <w:pStyle w:val="28"/>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rPr>
      </w:pPr>
    </w:p>
    <w:p w14:paraId="4878CC21">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rPr>
        <w:t>项目名称：</w:t>
      </w:r>
      <w:r>
        <w:rPr>
          <w:rFonts w:hint="eastAsia" w:ascii="宋体" w:hAnsi="宋体" w:eastAsia="宋体" w:cs="宋体"/>
          <w:sz w:val="24"/>
          <w:szCs w:val="24"/>
          <w:highlight w:val="none"/>
          <w:lang w:eastAsia="zh-CN"/>
        </w:rPr>
        <w:t>上海儿童医学中心福建医院——国家区域医疗中心建设项目（二期）方案及初步设计</w:t>
      </w:r>
    </w:p>
    <w:p w14:paraId="6C24B6F2">
      <w:pPr>
        <w:pStyle w:val="28"/>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sz w:val="24"/>
          <w:szCs w:val="24"/>
          <w:highlight w:val="none"/>
          <w:lang w:val="en-US"/>
        </w:rPr>
      </w:pPr>
      <w:r>
        <w:rPr>
          <w:rFonts w:hint="eastAsia" w:ascii="宋体" w:hAnsi="宋体" w:eastAsia="宋体" w:cs="宋体"/>
          <w:b/>
          <w:bCs/>
          <w:sz w:val="24"/>
          <w:szCs w:val="24"/>
          <w:highlight w:val="none"/>
        </w:rPr>
        <w:t>项目编号：</w:t>
      </w:r>
      <w:r>
        <w:rPr>
          <w:rFonts w:hint="eastAsia" w:ascii="宋体" w:hAnsi="宋体" w:eastAsia="宋体" w:cs="宋体"/>
          <w:sz w:val="24"/>
          <w:szCs w:val="24"/>
          <w:highlight w:val="none"/>
          <w:lang w:val="en-US" w:eastAsia="zh-CN"/>
        </w:rPr>
        <w:t>ETHQZB202501</w:t>
      </w:r>
    </w:p>
    <w:tbl>
      <w:tblPr>
        <w:tblStyle w:val="18"/>
        <w:tblW w:w="850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3"/>
        <w:gridCol w:w="2116"/>
        <w:gridCol w:w="835"/>
        <w:gridCol w:w="1240"/>
        <w:gridCol w:w="1162"/>
        <w:gridCol w:w="1643"/>
        <w:gridCol w:w="865"/>
      </w:tblGrid>
      <w:tr w14:paraId="6657D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40" w:hRule="atLeast"/>
          <w:jc w:val="center"/>
        </w:trPr>
        <w:tc>
          <w:tcPr>
            <w:tcW w:w="643" w:type="dxa"/>
            <w:vAlign w:val="center"/>
          </w:tcPr>
          <w:p w14:paraId="6EFD2770">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采购包</w:t>
            </w:r>
          </w:p>
        </w:tc>
        <w:tc>
          <w:tcPr>
            <w:tcW w:w="2116" w:type="dxa"/>
            <w:vAlign w:val="center"/>
          </w:tcPr>
          <w:p w14:paraId="6809E1E4">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报价内容</w:t>
            </w:r>
          </w:p>
        </w:tc>
        <w:tc>
          <w:tcPr>
            <w:tcW w:w="835" w:type="dxa"/>
            <w:vAlign w:val="center"/>
          </w:tcPr>
          <w:p w14:paraId="157F5979">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1240" w:type="dxa"/>
            <w:vAlign w:val="center"/>
          </w:tcPr>
          <w:p w14:paraId="777F966C">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最后报价</w:t>
            </w:r>
          </w:p>
          <w:p w14:paraId="01298C6C">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下浮率</w:t>
            </w:r>
          </w:p>
        </w:tc>
        <w:tc>
          <w:tcPr>
            <w:tcW w:w="1162" w:type="dxa"/>
            <w:vAlign w:val="center"/>
          </w:tcPr>
          <w:p w14:paraId="1397323A">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服务期</w:t>
            </w:r>
          </w:p>
        </w:tc>
        <w:tc>
          <w:tcPr>
            <w:tcW w:w="1643" w:type="dxa"/>
            <w:shd w:val="clear" w:color="auto" w:fill="auto"/>
            <w:vAlign w:val="center"/>
          </w:tcPr>
          <w:p w14:paraId="2DEA00DD">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项目</w:t>
            </w:r>
            <w:r>
              <w:rPr>
                <w:rFonts w:hint="eastAsia" w:ascii="宋体" w:hAnsi="宋体" w:eastAsia="宋体" w:cs="宋体"/>
                <w:sz w:val="24"/>
                <w:szCs w:val="24"/>
                <w:highlight w:val="none"/>
                <w:lang w:val="en-US" w:eastAsia="zh-CN"/>
              </w:rPr>
              <w:t>负责人</w:t>
            </w:r>
            <w:r>
              <w:rPr>
                <w:rFonts w:hint="eastAsia" w:ascii="宋体" w:hAnsi="宋体" w:eastAsia="宋体" w:cs="宋体"/>
                <w:sz w:val="24"/>
                <w:szCs w:val="24"/>
                <w:highlight w:val="none"/>
                <w:lang w:eastAsia="zh-CN"/>
              </w:rPr>
              <w:t>、</w:t>
            </w:r>
          </w:p>
          <w:p w14:paraId="4A51DEFD">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执业证书信息</w:t>
            </w:r>
          </w:p>
        </w:tc>
        <w:tc>
          <w:tcPr>
            <w:tcW w:w="865" w:type="dxa"/>
            <w:vAlign w:val="center"/>
          </w:tcPr>
          <w:p w14:paraId="1C269B3F">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备注</w:t>
            </w:r>
          </w:p>
        </w:tc>
      </w:tr>
      <w:tr w14:paraId="6C899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3" w:type="dxa"/>
            <w:vAlign w:val="center"/>
          </w:tcPr>
          <w:p w14:paraId="64C7198C">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2116" w:type="dxa"/>
            <w:vAlign w:val="center"/>
          </w:tcPr>
          <w:p w14:paraId="19429F50">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上海儿童医学中心福建医院——国家区域医疗中心建设项目（二期）方案及初步设计</w:t>
            </w:r>
          </w:p>
        </w:tc>
        <w:tc>
          <w:tcPr>
            <w:tcW w:w="835" w:type="dxa"/>
            <w:vAlign w:val="center"/>
          </w:tcPr>
          <w:p w14:paraId="0A75D0B0">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项</w:t>
            </w:r>
          </w:p>
        </w:tc>
        <w:tc>
          <w:tcPr>
            <w:tcW w:w="1240" w:type="dxa"/>
            <w:vAlign w:val="center"/>
          </w:tcPr>
          <w:p w14:paraId="67A253A1">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p>
        </w:tc>
        <w:tc>
          <w:tcPr>
            <w:tcW w:w="1162" w:type="dxa"/>
            <w:vAlign w:val="center"/>
          </w:tcPr>
          <w:p w14:paraId="5FC7D289">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u w:val="none"/>
              </w:rPr>
              <w:t>方案及初步设计方案通过专家评审后</w:t>
            </w:r>
          </w:p>
        </w:tc>
        <w:tc>
          <w:tcPr>
            <w:tcW w:w="1643" w:type="dxa"/>
            <w:vAlign w:val="center"/>
          </w:tcPr>
          <w:p w14:paraId="42327B92">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p>
        </w:tc>
        <w:tc>
          <w:tcPr>
            <w:tcW w:w="865" w:type="dxa"/>
            <w:vAlign w:val="center"/>
          </w:tcPr>
          <w:p w14:paraId="19350905">
            <w:pPr>
              <w:pStyle w:val="28"/>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highlight w:val="none"/>
              </w:rPr>
            </w:pPr>
          </w:p>
        </w:tc>
      </w:tr>
    </w:tbl>
    <w:p w14:paraId="5EA9B9C9">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p>
    <w:p w14:paraId="6F57D517">
      <w:pPr>
        <w:pStyle w:val="28"/>
        <w:keepNext w:val="0"/>
        <w:keepLines w:val="0"/>
        <w:pageBreakBefore w:val="0"/>
        <w:kinsoku/>
        <w:wordWrap/>
        <w:overflowPunct/>
        <w:topLinePunct w:val="0"/>
        <w:autoSpaceDE/>
        <w:autoSpaceDN/>
        <w:bidi w:val="0"/>
        <w:adjustRightInd/>
        <w:snapToGrid/>
        <w:spacing w:line="400" w:lineRule="exact"/>
        <w:ind w:firstLine="480"/>
        <w:jc w:val="both"/>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lang w:val="en-US" w:eastAsia="zh-CN"/>
        </w:rPr>
        <w:t>说明：</w:t>
      </w:r>
      <w:r>
        <w:rPr>
          <w:rFonts w:hint="eastAsia" w:ascii="宋体" w:hAnsi="宋体" w:eastAsia="宋体" w:cs="宋体"/>
          <w:sz w:val="24"/>
          <w:szCs w:val="24"/>
          <w:highlight w:val="none"/>
        </w:rPr>
        <w:t>本项目</w:t>
      </w:r>
      <w:r>
        <w:rPr>
          <w:rFonts w:hint="eastAsia" w:ascii="宋体" w:hAnsi="宋体" w:eastAsia="宋体" w:cs="宋体"/>
          <w:sz w:val="24"/>
          <w:szCs w:val="24"/>
          <w:highlight w:val="none"/>
          <w:lang w:val="en-US" w:eastAsia="zh-CN"/>
        </w:rPr>
        <w:t>以</w:t>
      </w:r>
      <w:r>
        <w:rPr>
          <w:rFonts w:hint="eastAsia" w:ascii="宋体" w:hAnsi="宋体" w:eastAsia="宋体" w:cs="宋体"/>
          <w:sz w:val="24"/>
          <w:szCs w:val="24"/>
          <w:highlight w:val="none"/>
        </w:rPr>
        <w:t>“下浮率”</w:t>
      </w:r>
      <w:r>
        <w:rPr>
          <w:rFonts w:hint="eastAsia" w:ascii="宋体" w:hAnsi="宋体" w:eastAsia="宋体" w:cs="宋体"/>
          <w:sz w:val="24"/>
          <w:szCs w:val="24"/>
          <w:highlight w:val="none"/>
          <w:lang w:val="en-US" w:eastAsia="zh-CN"/>
        </w:rPr>
        <w:t>方式</w:t>
      </w:r>
      <w:r>
        <w:rPr>
          <w:rFonts w:hint="eastAsia" w:ascii="宋体" w:hAnsi="宋体" w:eastAsia="宋体" w:cs="宋体"/>
          <w:sz w:val="24"/>
          <w:szCs w:val="24"/>
          <w:highlight w:val="none"/>
        </w:rPr>
        <w:t>进行报价。下浮率计算过程保留小数点后两位数</w:t>
      </w:r>
      <w:r>
        <w:rPr>
          <w:rFonts w:hint="eastAsia" w:ascii="宋体" w:hAnsi="宋体" w:eastAsia="宋体" w:cs="宋体"/>
          <w:sz w:val="24"/>
          <w:szCs w:val="24"/>
          <w:highlight w:val="none"/>
          <w:lang w:val="en-US" w:eastAsia="zh-CN"/>
        </w:rPr>
        <w:t>(如</w:t>
      </w:r>
      <w:r>
        <w:rPr>
          <w:rFonts w:hint="eastAsia" w:ascii="宋体" w:hAnsi="宋体" w:eastAsia="宋体" w:cs="宋体"/>
          <w:sz w:val="24"/>
          <w:szCs w:val="24"/>
          <w:highlight w:val="none"/>
        </w:rPr>
        <w:t>10.00%</w:t>
      </w:r>
      <w:r>
        <w:rPr>
          <w:rFonts w:hint="eastAsia" w:ascii="宋体" w:hAnsi="宋体" w:eastAsia="宋体" w:cs="宋体"/>
          <w:sz w:val="24"/>
          <w:szCs w:val="24"/>
          <w:highlight w:val="none"/>
          <w:lang w:val="en-US" w:eastAsia="zh-CN"/>
        </w:rPr>
        <w:t>)。结算计算公式</w:t>
      </w:r>
      <w:r>
        <w:rPr>
          <w:rFonts w:hint="eastAsia" w:ascii="宋体" w:hAnsi="宋体" w:eastAsia="宋体" w:cs="宋体"/>
          <w:sz w:val="24"/>
          <w:szCs w:val="24"/>
          <w:highlight w:val="none"/>
        </w:rPr>
        <w:t>：</w:t>
      </w:r>
      <w:r>
        <w:rPr>
          <w:rFonts w:hint="eastAsia" w:ascii="宋体" w:hAnsi="宋体" w:cs="宋体"/>
          <w:b w:val="0"/>
          <w:bCs w:val="0"/>
          <w:sz w:val="24"/>
          <w:szCs w:val="24"/>
          <w:highlight w:val="none"/>
          <w:lang w:val="en-US" w:eastAsia="zh-CN"/>
        </w:rPr>
        <w:t>最终结算金额</w:t>
      </w:r>
      <w:r>
        <w:rPr>
          <w:rFonts w:hint="eastAsia" w:ascii="宋体" w:hAnsi="宋体" w:eastAsia="宋体" w:cs="宋体"/>
          <w:sz w:val="24"/>
          <w:szCs w:val="24"/>
          <w:highlight w:val="none"/>
        </w:rPr>
        <w:t>=采购人审计部门审核后出具</w:t>
      </w:r>
      <w:r>
        <w:rPr>
          <w:rFonts w:hint="eastAsia" w:ascii="宋体" w:hAnsi="宋体" w:eastAsia="宋体" w:cs="宋体"/>
          <w:sz w:val="24"/>
          <w:szCs w:val="24"/>
          <w:highlight w:val="none"/>
          <w:lang w:val="en-US" w:eastAsia="zh-CN"/>
        </w:rPr>
        <w:t>的</w:t>
      </w:r>
      <w:r>
        <w:rPr>
          <w:rFonts w:hint="eastAsia" w:ascii="宋体" w:hAnsi="宋体" w:eastAsia="宋体" w:cs="宋体"/>
          <w:sz w:val="24"/>
          <w:szCs w:val="24"/>
          <w:highlight w:val="none"/>
        </w:rPr>
        <w:t>审计报告×（1-报价下浮率）</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报价下浮率作为实际价格结算的依据，最终总的结算金额不超过预算金额。</w:t>
      </w:r>
    </w:p>
    <w:p w14:paraId="5DF15AF6">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lang w:val="en-US" w:eastAsia="zh-CN"/>
        </w:rPr>
      </w:pPr>
    </w:p>
    <w:p w14:paraId="3DD14285">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p>
    <w:p w14:paraId="26F78ADC">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代表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（签字）</w:t>
      </w:r>
    </w:p>
    <w:p w14:paraId="05A85915">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（全称并加盖公章）</w:t>
      </w:r>
    </w:p>
    <w:p w14:paraId="07A13ADA">
      <w:pPr>
        <w:pStyle w:val="28"/>
        <w:keepNext w:val="0"/>
        <w:keepLines w:val="0"/>
        <w:pageBreakBefore w:val="0"/>
        <w:kinsoku/>
        <w:wordWrap/>
        <w:overflowPunct/>
        <w:topLinePunct w:val="0"/>
        <w:autoSpaceDE/>
        <w:autoSpaceDN/>
        <w:bidi w:val="0"/>
        <w:adjustRightInd/>
        <w:snapToGrid/>
        <w:spacing w:line="400" w:lineRule="exact"/>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日</w:t>
      </w:r>
    </w:p>
    <w:p w14:paraId="3130B91A">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sz w:val="24"/>
          <w:szCs w:val="24"/>
          <w:highlight w:val="none"/>
        </w:rPr>
      </w:pPr>
    </w:p>
    <w:p w14:paraId="0F0BA8E8">
      <w:pPr>
        <w:pStyle w:val="28"/>
        <w:pageBreakBefore w:val="0"/>
        <w:kinsoku/>
        <w:wordWrap/>
        <w:overflowPunct/>
        <w:topLinePunct w:val="0"/>
        <w:bidi w:val="0"/>
        <w:spacing w:line="400" w:lineRule="exact"/>
        <w:jc w:val="left"/>
        <w:textAlignment w:val="auto"/>
        <w:rPr>
          <w:highlight w:val="none"/>
        </w:rPr>
      </w:pPr>
    </w:p>
    <w:sectPr>
      <w:footerReference r:id="rId7"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01A3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1F22C">
    <w:pPr>
      <w:pStyle w:val="10"/>
      <w:kinsoku w:val="0"/>
      <w:overflowPunct w:val="0"/>
      <w:spacing w:beforeLines="0" w:afterLines="0" w:line="14" w:lineRule="auto"/>
      <w:ind w:left="0"/>
      <w:rPr>
        <w:rFonts w:hint="default"/>
        <w:sz w:val="20"/>
        <w:szCs w:val="24"/>
      </w:rPr>
    </w:pPr>
    <w:r>
      <w:rPr>
        <w:rFonts w:hint="default" w:ascii="Calibri" w:hAnsi="Calibri" w:eastAsia="Calibri"/>
        <w:spacing w:val="-5"/>
        <w:sz w:val="20"/>
        <w:szCs w:val="24"/>
      </w:rPr>
      <mc:AlternateContent>
        <mc:Choice Requires="wps">
          <w:drawing>
            <wp:anchor distT="0" distB="0" distL="114300" distR="114300" simplePos="0" relativeHeight="251659264" behindDoc="1" locked="0" layoutInCell="1" allowOverlap="1">
              <wp:simplePos x="0" y="0"/>
              <wp:positionH relativeFrom="page">
                <wp:posOffset>3645535</wp:posOffset>
              </wp:positionH>
              <wp:positionV relativeFrom="page">
                <wp:posOffset>9831070</wp:posOffset>
              </wp:positionV>
              <wp:extent cx="281305" cy="151765"/>
              <wp:effectExtent l="0" t="0" r="0" b="0"/>
              <wp:wrapNone/>
              <wp:docPr id="8" name="文本框 8"/>
              <wp:cNvGraphicFramePr/>
              <a:graphic xmlns:a="http://schemas.openxmlformats.org/drawingml/2006/main">
                <a:graphicData uri="http://schemas.microsoft.com/office/word/2010/wordprocessingShape">
                  <wps:wsp>
                    <wps:cNvSpPr txBox="1"/>
                    <wps:spPr>
                      <a:xfrm>
                        <a:off x="0" y="0"/>
                        <a:ext cx="281305" cy="151765"/>
                      </a:xfrm>
                      <a:prstGeom prst="rect">
                        <a:avLst/>
                      </a:prstGeom>
                      <a:noFill/>
                      <a:ln>
                        <a:noFill/>
                      </a:ln>
                    </wps:spPr>
                    <wps:txbx>
                      <w:txbxContent>
                        <w:p w14:paraId="0ABC41F7">
                          <w:pPr>
                            <w:pStyle w:val="10"/>
                            <w:kinsoku w:val="0"/>
                            <w:overflowPunct w:val="0"/>
                            <w:spacing w:beforeLines="0" w:afterLines="0" w:line="223" w:lineRule="exact"/>
                            <w:ind w:left="60"/>
                            <w:rPr>
                              <w:rFonts w:hint="default" w:ascii="Calibri" w:hAnsi="Calibri" w:eastAsia="Calibri"/>
                              <w:spacing w:val="-5"/>
                              <w:sz w:val="20"/>
                              <w:szCs w:val="24"/>
                            </w:rPr>
                          </w:pPr>
                          <w:r>
                            <w:rPr>
                              <w:rFonts w:hint="default" w:ascii="Calibri" w:hAnsi="Calibri" w:eastAsia="Calibri"/>
                              <w:spacing w:val="-5"/>
                              <w:sz w:val="20"/>
                              <w:szCs w:val="24"/>
                            </w:rPr>
                            <w:fldChar w:fldCharType="begin"/>
                          </w:r>
                          <w:r>
                            <w:rPr>
                              <w:rFonts w:hint="default" w:ascii="Calibri" w:hAnsi="Calibri" w:eastAsia="Calibri"/>
                              <w:spacing w:val="-5"/>
                              <w:sz w:val="20"/>
                              <w:szCs w:val="24"/>
                            </w:rPr>
                            <w:instrText xml:space="preserve"> PAGE </w:instrText>
                          </w:r>
                          <w:r>
                            <w:rPr>
                              <w:rFonts w:hint="default" w:ascii="Calibri" w:hAnsi="Calibri" w:eastAsia="Calibri"/>
                              <w:spacing w:val="-5"/>
                              <w:sz w:val="20"/>
                              <w:szCs w:val="24"/>
                            </w:rPr>
                            <w:fldChar w:fldCharType="separate"/>
                          </w:r>
                          <w:r>
                            <w:rPr>
                              <w:rFonts w:hint="default" w:ascii="Calibri" w:hAnsi="Calibri" w:eastAsia="Calibri"/>
                              <w:spacing w:val="-5"/>
                              <w:sz w:val="20"/>
                              <w:szCs w:val="24"/>
                            </w:rPr>
                            <w:fldChar w:fldCharType="end"/>
                          </w:r>
                        </w:p>
                      </w:txbxContent>
                    </wps:txbx>
                    <wps:bodyPr lIns="0" tIns="0" rIns="0" bIns="0" upright="1"/>
                  </wps:wsp>
                </a:graphicData>
              </a:graphic>
            </wp:anchor>
          </w:drawing>
        </mc:Choice>
        <mc:Fallback>
          <w:pict>
            <v:shape id="_x0000_s1026" o:spid="_x0000_s1026" o:spt="202" type="#_x0000_t202" style="position:absolute;left:0pt;margin-left:287.05pt;margin-top:774.1pt;height:11.95pt;width:22.15pt;mso-position-horizontal-relative:page;mso-position-vertical-relative:page;z-index:-251657216;mso-width-relative:page;mso-height-relative:page;" filled="f" stroked="f" coordsize="21600,21600" o:gfxdata="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LkhuzbAAAADQEAAA8AAAAAAAAAAQAgAAAAIgAAAGRycy9kb3ducmV2LnhtbFBL&#10;AQIUABQAAAAIAIdO4kD/FT9QugEAAHEDAAAOAAAAAAAAAAEAIAAAACoBAABkcnMvZTJvRG9jLnht&#10;bFBLBQYAAAAABgAGAFkBAABWBQAAAAA=&#10;">
              <v:fill on="f" focussize="0,0"/>
              <v:stroke on="f"/>
              <v:imagedata o:title=""/>
              <o:lock v:ext="edit" aspectratio="f"/>
              <v:textbox inset="0mm,0mm,0mm,0mm">
                <w:txbxContent>
                  <w:p w14:paraId="0ABC41F7">
                    <w:pPr>
                      <w:pStyle w:val="10"/>
                      <w:kinsoku w:val="0"/>
                      <w:overflowPunct w:val="0"/>
                      <w:spacing w:beforeLines="0" w:afterLines="0" w:line="223" w:lineRule="exact"/>
                      <w:ind w:left="60"/>
                      <w:rPr>
                        <w:rFonts w:hint="default" w:ascii="Calibri" w:hAnsi="Calibri" w:eastAsia="Calibri"/>
                        <w:spacing w:val="-5"/>
                        <w:sz w:val="20"/>
                        <w:szCs w:val="24"/>
                      </w:rPr>
                    </w:pPr>
                    <w:r>
                      <w:rPr>
                        <w:rFonts w:hint="default" w:ascii="Calibri" w:hAnsi="Calibri" w:eastAsia="Calibri"/>
                        <w:spacing w:val="-5"/>
                        <w:sz w:val="20"/>
                        <w:szCs w:val="24"/>
                      </w:rPr>
                      <w:fldChar w:fldCharType="begin"/>
                    </w:r>
                    <w:r>
                      <w:rPr>
                        <w:rFonts w:hint="default" w:ascii="Calibri" w:hAnsi="Calibri" w:eastAsia="Calibri"/>
                        <w:spacing w:val="-5"/>
                        <w:sz w:val="20"/>
                        <w:szCs w:val="24"/>
                      </w:rPr>
                      <w:instrText xml:space="preserve"> PAGE </w:instrText>
                    </w:r>
                    <w:r>
                      <w:rPr>
                        <w:rFonts w:hint="default" w:ascii="Calibri" w:hAnsi="Calibri" w:eastAsia="Calibri"/>
                        <w:spacing w:val="-5"/>
                        <w:sz w:val="20"/>
                        <w:szCs w:val="24"/>
                      </w:rPr>
                      <w:fldChar w:fldCharType="separate"/>
                    </w:r>
                    <w:r>
                      <w:rPr>
                        <w:rFonts w:hint="default" w:ascii="Calibri" w:hAnsi="Calibri" w:eastAsia="Calibri"/>
                        <w:spacing w:val="-5"/>
                        <w:sz w:val="20"/>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1B4BC">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040CFE">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5040CFE">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F1CD38"/>
    <w:multiLevelType w:val="singleLevel"/>
    <w:tmpl w:val="A4F1CD38"/>
    <w:lvl w:ilvl="0" w:tentative="0">
      <w:start w:val="1"/>
      <w:numFmt w:val="decimal"/>
      <w:lvlText w:val="(%1)"/>
      <w:lvlJc w:val="left"/>
      <w:pPr>
        <w:ind w:left="425" w:hanging="425"/>
      </w:pPr>
      <w:rPr>
        <w:rFonts w:hint="default"/>
      </w:rPr>
    </w:lvl>
  </w:abstractNum>
  <w:abstractNum w:abstractNumId="1">
    <w:nsid w:val="A612BA7C"/>
    <w:multiLevelType w:val="singleLevel"/>
    <w:tmpl w:val="A612BA7C"/>
    <w:lvl w:ilvl="0" w:tentative="0">
      <w:start w:val="3"/>
      <w:numFmt w:val="decimal"/>
      <w:suff w:val="nothing"/>
      <w:lvlText w:val="%1、"/>
      <w:lvlJc w:val="left"/>
    </w:lvl>
  </w:abstractNum>
  <w:abstractNum w:abstractNumId="2">
    <w:nsid w:val="BA3CED51"/>
    <w:multiLevelType w:val="singleLevel"/>
    <w:tmpl w:val="BA3CED51"/>
    <w:lvl w:ilvl="0" w:tentative="0">
      <w:start w:val="1"/>
      <w:numFmt w:val="decimal"/>
      <w:lvlText w:val="(%1)"/>
      <w:lvlJc w:val="left"/>
      <w:pPr>
        <w:ind w:left="425" w:hanging="425"/>
      </w:pPr>
      <w:rPr>
        <w:rFonts w:hint="default"/>
      </w:rPr>
    </w:lvl>
  </w:abstractNum>
  <w:abstractNum w:abstractNumId="3">
    <w:nsid w:val="E5EECFD4"/>
    <w:multiLevelType w:val="singleLevel"/>
    <w:tmpl w:val="E5EECFD4"/>
    <w:lvl w:ilvl="0" w:tentative="0">
      <w:start w:val="1"/>
      <w:numFmt w:val="decimal"/>
      <w:lvlText w:val="(%1)"/>
      <w:lvlJc w:val="left"/>
      <w:pPr>
        <w:ind w:left="425" w:hanging="425"/>
      </w:pPr>
      <w:rPr>
        <w:rFonts w:hint="default"/>
      </w:rPr>
    </w:lvl>
  </w:abstractNum>
  <w:abstractNum w:abstractNumId="4">
    <w:nsid w:val="E6CB96CE"/>
    <w:multiLevelType w:val="singleLevel"/>
    <w:tmpl w:val="E6CB96CE"/>
    <w:lvl w:ilvl="0" w:tentative="0">
      <w:start w:val="1"/>
      <w:numFmt w:val="decimal"/>
      <w:lvlText w:val="(%1)"/>
      <w:lvlJc w:val="left"/>
      <w:pPr>
        <w:ind w:left="425" w:hanging="425"/>
      </w:pPr>
      <w:rPr>
        <w:rFonts w:hint="default"/>
      </w:rPr>
    </w:lvl>
  </w:abstractNum>
  <w:abstractNum w:abstractNumId="5">
    <w:nsid w:val="04456B93"/>
    <w:multiLevelType w:val="multilevel"/>
    <w:tmpl w:val="04456B93"/>
    <w:lvl w:ilvl="0" w:tentative="0">
      <w:start w:val="1"/>
      <w:numFmt w:val="decimal"/>
      <w:lvlText w:val="%1."/>
      <w:lvlJc w:val="left"/>
      <w:pPr>
        <w:tabs>
          <w:tab w:val="left" w:pos="880"/>
        </w:tabs>
        <w:ind w:left="54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5ACCDD5"/>
    <w:multiLevelType w:val="singleLevel"/>
    <w:tmpl w:val="05ACCDD5"/>
    <w:lvl w:ilvl="0" w:tentative="0">
      <w:start w:val="1"/>
      <w:numFmt w:val="decimal"/>
      <w:lvlText w:val="(%1)"/>
      <w:lvlJc w:val="left"/>
      <w:pPr>
        <w:ind w:left="425" w:hanging="425"/>
      </w:pPr>
      <w:rPr>
        <w:rFonts w:hint="default"/>
      </w:rPr>
    </w:lvl>
  </w:abstractNum>
  <w:abstractNum w:abstractNumId="7">
    <w:nsid w:val="07FE9A3D"/>
    <w:multiLevelType w:val="singleLevel"/>
    <w:tmpl w:val="07FE9A3D"/>
    <w:lvl w:ilvl="0" w:tentative="0">
      <w:start w:val="1"/>
      <w:numFmt w:val="chineseCounting"/>
      <w:suff w:val="nothing"/>
      <w:lvlText w:val="（%1）"/>
      <w:lvlJc w:val="left"/>
      <w:rPr>
        <w:rFonts w:hint="eastAsia"/>
      </w:rPr>
    </w:lvl>
  </w:abstractNum>
  <w:abstractNum w:abstractNumId="8">
    <w:nsid w:val="1EAB67B0"/>
    <w:multiLevelType w:val="singleLevel"/>
    <w:tmpl w:val="1EAB67B0"/>
    <w:lvl w:ilvl="0" w:tentative="0">
      <w:start w:val="2"/>
      <w:numFmt w:val="chineseCounting"/>
      <w:suff w:val="nothing"/>
      <w:lvlText w:val="%1、"/>
      <w:lvlJc w:val="left"/>
      <w:rPr>
        <w:rFonts w:hint="eastAsia"/>
      </w:rPr>
    </w:lvl>
  </w:abstractNum>
  <w:abstractNum w:abstractNumId="9">
    <w:nsid w:val="254EED84"/>
    <w:multiLevelType w:val="singleLevel"/>
    <w:tmpl w:val="254EED84"/>
    <w:lvl w:ilvl="0" w:tentative="0">
      <w:start w:val="1"/>
      <w:numFmt w:val="decimal"/>
      <w:lvlText w:val="(%1)"/>
      <w:lvlJc w:val="left"/>
      <w:pPr>
        <w:tabs>
          <w:tab w:val="left" w:pos="397"/>
        </w:tabs>
        <w:ind w:left="0" w:firstLine="0"/>
      </w:pPr>
      <w:rPr>
        <w:rFonts w:hint="default"/>
      </w:rPr>
    </w:lvl>
  </w:abstractNum>
  <w:abstractNum w:abstractNumId="10">
    <w:nsid w:val="32E66E6C"/>
    <w:multiLevelType w:val="singleLevel"/>
    <w:tmpl w:val="32E66E6C"/>
    <w:lvl w:ilvl="0" w:tentative="0">
      <w:start w:val="1"/>
      <w:numFmt w:val="decimal"/>
      <w:lvlText w:val="(%1)"/>
      <w:lvlJc w:val="left"/>
      <w:pPr>
        <w:ind w:left="425" w:hanging="425"/>
      </w:pPr>
      <w:rPr>
        <w:rFonts w:hint="default"/>
      </w:rPr>
    </w:lvl>
  </w:abstractNum>
  <w:abstractNum w:abstractNumId="11">
    <w:nsid w:val="32F99D8D"/>
    <w:multiLevelType w:val="singleLevel"/>
    <w:tmpl w:val="32F99D8D"/>
    <w:lvl w:ilvl="0" w:tentative="0">
      <w:start w:val="1"/>
      <w:numFmt w:val="decimal"/>
      <w:lvlText w:val="(%1)"/>
      <w:lvlJc w:val="left"/>
      <w:pPr>
        <w:ind w:left="425" w:hanging="425"/>
      </w:pPr>
      <w:rPr>
        <w:rFonts w:hint="default"/>
      </w:rPr>
    </w:lvl>
  </w:abstractNum>
  <w:abstractNum w:abstractNumId="12">
    <w:nsid w:val="355F1BA6"/>
    <w:multiLevelType w:val="singleLevel"/>
    <w:tmpl w:val="355F1BA6"/>
    <w:lvl w:ilvl="0" w:tentative="0">
      <w:start w:val="1"/>
      <w:numFmt w:val="decimal"/>
      <w:lvlText w:val="(%1)"/>
      <w:lvlJc w:val="left"/>
      <w:pPr>
        <w:ind w:left="425" w:hanging="425"/>
      </w:pPr>
      <w:rPr>
        <w:rFonts w:hint="default"/>
      </w:rPr>
    </w:lvl>
  </w:abstractNum>
  <w:abstractNum w:abstractNumId="13">
    <w:nsid w:val="437D7127"/>
    <w:multiLevelType w:val="singleLevel"/>
    <w:tmpl w:val="437D7127"/>
    <w:lvl w:ilvl="0" w:tentative="0">
      <w:start w:val="1"/>
      <w:numFmt w:val="decimal"/>
      <w:lvlText w:val="(%1)"/>
      <w:lvlJc w:val="left"/>
      <w:pPr>
        <w:ind w:left="425" w:hanging="425"/>
      </w:pPr>
      <w:rPr>
        <w:rFonts w:hint="default"/>
      </w:rPr>
    </w:lvl>
  </w:abstractNum>
  <w:abstractNum w:abstractNumId="14">
    <w:nsid w:val="4734622C"/>
    <w:multiLevelType w:val="multilevel"/>
    <w:tmpl w:val="4734622C"/>
    <w:lvl w:ilvl="0" w:tentative="0">
      <w:start w:val="1"/>
      <w:numFmt w:val="decimal"/>
      <w:lvlText w:val="%1"/>
      <w:lvlJc w:val="left"/>
      <w:pPr>
        <w:tabs>
          <w:tab w:val="left" w:pos="113"/>
        </w:tabs>
        <w:ind w:left="0" w:firstLine="113"/>
      </w:pPr>
      <w:rPr>
        <w:rFonts w:hint="eastAsia"/>
      </w:rPr>
    </w:lvl>
    <w:lvl w:ilvl="1" w:tentative="0">
      <w:start w:val="1"/>
      <w:numFmt w:val="decimal"/>
      <w:lvlText w:val="%1.%2."/>
      <w:lvlJc w:val="left"/>
      <w:pPr>
        <w:tabs>
          <w:tab w:val="left" w:pos="510"/>
        </w:tabs>
        <w:ind w:left="0" w:firstLine="397"/>
      </w:pPr>
      <w:rPr>
        <w:rFonts w:hint="eastAsia"/>
      </w:rPr>
    </w:lvl>
    <w:lvl w:ilvl="2" w:tentative="0">
      <w:start w:val="1"/>
      <w:numFmt w:val="decimal"/>
      <w:lvlText w:val="%1.%2.%3."/>
      <w:lvlJc w:val="left"/>
      <w:pPr>
        <w:tabs>
          <w:tab w:val="left" w:pos="510"/>
        </w:tabs>
        <w:ind w:left="0" w:firstLine="397"/>
      </w:pPr>
      <w:rPr>
        <w:rFonts w:hint="eastAsia"/>
      </w:rPr>
    </w:lvl>
    <w:lvl w:ilvl="3" w:tentative="0">
      <w:start w:val="1"/>
      <w:numFmt w:val="decimal"/>
      <w:lvlText w:val="%1.%2.%3.%4."/>
      <w:lvlJc w:val="left"/>
      <w:pPr>
        <w:tabs>
          <w:tab w:val="left" w:pos="510"/>
        </w:tabs>
        <w:ind w:left="0" w:firstLine="51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5">
    <w:nsid w:val="4A1D44CE"/>
    <w:multiLevelType w:val="singleLevel"/>
    <w:tmpl w:val="4A1D44CE"/>
    <w:lvl w:ilvl="0" w:tentative="0">
      <w:start w:val="1"/>
      <w:numFmt w:val="decimal"/>
      <w:lvlText w:val="(%1)"/>
      <w:lvlJc w:val="left"/>
      <w:pPr>
        <w:ind w:left="425" w:hanging="425"/>
      </w:pPr>
      <w:rPr>
        <w:rFonts w:hint="default"/>
      </w:rPr>
    </w:lvl>
  </w:abstractNum>
  <w:abstractNum w:abstractNumId="16">
    <w:nsid w:val="4A63ACB2"/>
    <w:multiLevelType w:val="multilevel"/>
    <w:tmpl w:val="4A63ACB2"/>
    <w:lvl w:ilvl="0" w:tentative="0">
      <w:start w:val="1"/>
      <w:numFmt w:val="decimal"/>
      <w:lvlText w:val="（%1）"/>
      <w:lvlJc w:val="left"/>
      <w:pPr>
        <w:tabs>
          <w:tab w:val="left" w:pos="0"/>
        </w:tabs>
        <w:ind w:left="0" w:firstLine="510"/>
      </w:pPr>
      <w:rPr>
        <w:rFonts w:hint="eastAsia" w:ascii="宋体" w:hAnsi="宋体" w:eastAsia="宋体" w:cs="Times New Roman"/>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4A7769D7"/>
    <w:multiLevelType w:val="singleLevel"/>
    <w:tmpl w:val="4A7769D7"/>
    <w:lvl w:ilvl="0" w:tentative="0">
      <w:start w:val="1"/>
      <w:numFmt w:val="decimal"/>
      <w:lvlText w:val="(%1)"/>
      <w:lvlJc w:val="left"/>
      <w:pPr>
        <w:tabs>
          <w:tab w:val="left" w:pos="0"/>
        </w:tabs>
        <w:ind w:left="567" w:firstLine="0"/>
      </w:pPr>
      <w:rPr>
        <w:rFonts w:hint="default"/>
      </w:rPr>
    </w:lvl>
  </w:abstractNum>
  <w:abstractNum w:abstractNumId="18">
    <w:nsid w:val="4AB11B73"/>
    <w:multiLevelType w:val="multilevel"/>
    <w:tmpl w:val="4AB11B73"/>
    <w:lvl w:ilvl="0" w:tentative="0">
      <w:start w:val="1"/>
      <w:numFmt w:val="decimal"/>
      <w:lvlText w:val="%1."/>
      <w:lvlJc w:val="left"/>
      <w:pPr>
        <w:tabs>
          <w:tab w:val="left" w:pos="980"/>
        </w:tabs>
        <w:ind w:left="0" w:firstLine="5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6A6DB8BA"/>
    <w:multiLevelType w:val="singleLevel"/>
    <w:tmpl w:val="6A6DB8BA"/>
    <w:lvl w:ilvl="0" w:tentative="0">
      <w:start w:val="1"/>
      <w:numFmt w:val="decimal"/>
      <w:lvlText w:val="(%1)"/>
      <w:lvlJc w:val="left"/>
      <w:pPr>
        <w:tabs>
          <w:tab w:val="left" w:pos="0"/>
        </w:tabs>
        <w:ind w:left="425" w:hanging="425"/>
      </w:pPr>
      <w:rPr>
        <w:rFonts w:hint="default"/>
      </w:rPr>
    </w:lvl>
  </w:abstractNum>
  <w:abstractNum w:abstractNumId="20">
    <w:nsid w:val="71DDAE00"/>
    <w:multiLevelType w:val="singleLevel"/>
    <w:tmpl w:val="71DDAE00"/>
    <w:lvl w:ilvl="0" w:tentative="0">
      <w:start w:val="1"/>
      <w:numFmt w:val="decimal"/>
      <w:lvlText w:val="(%1)"/>
      <w:lvlJc w:val="left"/>
      <w:pPr>
        <w:ind w:left="425" w:hanging="425"/>
      </w:pPr>
      <w:rPr>
        <w:rFonts w:hint="default"/>
      </w:rPr>
    </w:lvl>
  </w:abstractNum>
  <w:num w:numId="1">
    <w:abstractNumId w:val="14"/>
  </w:num>
  <w:num w:numId="2">
    <w:abstractNumId w:val="16"/>
  </w:num>
  <w:num w:numId="3">
    <w:abstractNumId w:val="8"/>
  </w:num>
  <w:num w:numId="4">
    <w:abstractNumId w:val="18"/>
  </w:num>
  <w:num w:numId="5">
    <w:abstractNumId w:val="17"/>
  </w:num>
  <w:num w:numId="6">
    <w:abstractNumId w:val="3"/>
  </w:num>
  <w:num w:numId="7">
    <w:abstractNumId w:val="19"/>
  </w:num>
  <w:num w:numId="8">
    <w:abstractNumId w:val="5"/>
  </w:num>
  <w:num w:numId="9">
    <w:abstractNumId w:val="12"/>
  </w:num>
  <w:num w:numId="10">
    <w:abstractNumId w:val="13"/>
  </w:num>
  <w:num w:numId="11">
    <w:abstractNumId w:val="10"/>
  </w:num>
  <w:num w:numId="12">
    <w:abstractNumId w:val="6"/>
  </w:num>
  <w:num w:numId="13">
    <w:abstractNumId w:val="20"/>
  </w:num>
  <w:num w:numId="14">
    <w:abstractNumId w:val="4"/>
  </w:num>
  <w:num w:numId="15">
    <w:abstractNumId w:val="0"/>
  </w:num>
  <w:num w:numId="16">
    <w:abstractNumId w:val="2"/>
  </w:num>
  <w:num w:numId="17">
    <w:abstractNumId w:val="15"/>
  </w:num>
  <w:num w:numId="18">
    <w:abstractNumId w:val="11"/>
  </w:num>
  <w:num w:numId="19">
    <w:abstractNumId w:val="9"/>
  </w:num>
  <w:num w:numId="20">
    <w:abstractNumId w:val="1"/>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wNTEyZWQ5MjI3MmNhNWVjY2VmMjEwNmJlZmRhMGIifQ=="/>
  </w:docVars>
  <w:rsids>
    <w:rsidRoot w:val="53B52B8D"/>
    <w:rsid w:val="005D4603"/>
    <w:rsid w:val="006F327B"/>
    <w:rsid w:val="0101237C"/>
    <w:rsid w:val="016C71F3"/>
    <w:rsid w:val="01C7267B"/>
    <w:rsid w:val="02243BD7"/>
    <w:rsid w:val="024D2BD2"/>
    <w:rsid w:val="033315C3"/>
    <w:rsid w:val="059E27F4"/>
    <w:rsid w:val="0616772D"/>
    <w:rsid w:val="063B7194"/>
    <w:rsid w:val="066F6E3E"/>
    <w:rsid w:val="06D47AF0"/>
    <w:rsid w:val="06E17087"/>
    <w:rsid w:val="079B25E0"/>
    <w:rsid w:val="08B473D7"/>
    <w:rsid w:val="09CC0F78"/>
    <w:rsid w:val="0A2E2651"/>
    <w:rsid w:val="0C210BDA"/>
    <w:rsid w:val="0DE40111"/>
    <w:rsid w:val="0ED0497A"/>
    <w:rsid w:val="104C6F5A"/>
    <w:rsid w:val="109D3676"/>
    <w:rsid w:val="10FF0B4A"/>
    <w:rsid w:val="121571AD"/>
    <w:rsid w:val="147F2942"/>
    <w:rsid w:val="14B75D18"/>
    <w:rsid w:val="14D50E92"/>
    <w:rsid w:val="14ED2F01"/>
    <w:rsid w:val="159B30FB"/>
    <w:rsid w:val="16C24EA2"/>
    <w:rsid w:val="177F50ED"/>
    <w:rsid w:val="18652503"/>
    <w:rsid w:val="1BB92BDD"/>
    <w:rsid w:val="1CF1782B"/>
    <w:rsid w:val="226C5805"/>
    <w:rsid w:val="23C40371"/>
    <w:rsid w:val="23E97DD8"/>
    <w:rsid w:val="24B07C95"/>
    <w:rsid w:val="25877ECD"/>
    <w:rsid w:val="27A75FE0"/>
    <w:rsid w:val="27B206EB"/>
    <w:rsid w:val="280E5970"/>
    <w:rsid w:val="282B09BF"/>
    <w:rsid w:val="28692DD9"/>
    <w:rsid w:val="296C02F7"/>
    <w:rsid w:val="29EB2AFB"/>
    <w:rsid w:val="2C025A8B"/>
    <w:rsid w:val="2FC83AA1"/>
    <w:rsid w:val="3031397C"/>
    <w:rsid w:val="310A7D7F"/>
    <w:rsid w:val="32A75EAC"/>
    <w:rsid w:val="32D75DF9"/>
    <w:rsid w:val="33FC00C4"/>
    <w:rsid w:val="35D21EE0"/>
    <w:rsid w:val="36347FA7"/>
    <w:rsid w:val="36EF7BD7"/>
    <w:rsid w:val="377F3D15"/>
    <w:rsid w:val="384F0C8B"/>
    <w:rsid w:val="38832E6A"/>
    <w:rsid w:val="3A9B7C26"/>
    <w:rsid w:val="3C35531F"/>
    <w:rsid w:val="3DD071FB"/>
    <w:rsid w:val="3DF30901"/>
    <w:rsid w:val="4053252A"/>
    <w:rsid w:val="408E5B37"/>
    <w:rsid w:val="42A11B51"/>
    <w:rsid w:val="442731B5"/>
    <w:rsid w:val="445647B5"/>
    <w:rsid w:val="45A14175"/>
    <w:rsid w:val="46C40130"/>
    <w:rsid w:val="49226C6A"/>
    <w:rsid w:val="4935064F"/>
    <w:rsid w:val="49DB210B"/>
    <w:rsid w:val="4A90399A"/>
    <w:rsid w:val="4B41092F"/>
    <w:rsid w:val="4B85213F"/>
    <w:rsid w:val="4D660B95"/>
    <w:rsid w:val="4F94434B"/>
    <w:rsid w:val="4FB155C7"/>
    <w:rsid w:val="4FC8057D"/>
    <w:rsid w:val="4FD74E04"/>
    <w:rsid w:val="50915027"/>
    <w:rsid w:val="5306762A"/>
    <w:rsid w:val="532B46FF"/>
    <w:rsid w:val="535E60CA"/>
    <w:rsid w:val="538B4004"/>
    <w:rsid w:val="53B52B8D"/>
    <w:rsid w:val="54BD6564"/>
    <w:rsid w:val="559E4055"/>
    <w:rsid w:val="573265EE"/>
    <w:rsid w:val="577B300E"/>
    <w:rsid w:val="585225F3"/>
    <w:rsid w:val="586456A3"/>
    <w:rsid w:val="588E4C80"/>
    <w:rsid w:val="5A736BB6"/>
    <w:rsid w:val="5BAC030C"/>
    <w:rsid w:val="5C2A2760"/>
    <w:rsid w:val="5DF84D9B"/>
    <w:rsid w:val="60E00187"/>
    <w:rsid w:val="617D7E6A"/>
    <w:rsid w:val="624F54D5"/>
    <w:rsid w:val="63D1439C"/>
    <w:rsid w:val="63EA5B95"/>
    <w:rsid w:val="655F16CC"/>
    <w:rsid w:val="6584796A"/>
    <w:rsid w:val="660948D3"/>
    <w:rsid w:val="66AB23FE"/>
    <w:rsid w:val="66B82E1D"/>
    <w:rsid w:val="67566317"/>
    <w:rsid w:val="679F43EC"/>
    <w:rsid w:val="68BB2CDB"/>
    <w:rsid w:val="69067DA4"/>
    <w:rsid w:val="70812867"/>
    <w:rsid w:val="71474EFB"/>
    <w:rsid w:val="717A163C"/>
    <w:rsid w:val="727E320A"/>
    <w:rsid w:val="757840E4"/>
    <w:rsid w:val="77F79321"/>
    <w:rsid w:val="783B2A53"/>
    <w:rsid w:val="78D377A5"/>
    <w:rsid w:val="799B1102"/>
    <w:rsid w:val="7A0F0135"/>
    <w:rsid w:val="7A4B5577"/>
    <w:rsid w:val="7BBC1582"/>
    <w:rsid w:val="7D3D00ED"/>
    <w:rsid w:val="7D5D4EA7"/>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400" w:lineRule="exact"/>
      <w:ind w:firstLine="0" w:firstLineChars="0"/>
      <w:jc w:val="both"/>
    </w:pPr>
    <w:rPr>
      <w:rFonts w:asciiTheme="minorAscii" w:hAnsiTheme="minorAscii" w:eastAsiaTheme="minorEastAsia" w:cstheme="minorBidi"/>
      <w:kern w:val="2"/>
      <w:sz w:val="24"/>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28"/>
    </w:rPr>
  </w:style>
  <w:style w:type="paragraph" w:styleId="3">
    <w:name w:val="heading 2"/>
    <w:basedOn w:val="1"/>
    <w:next w:val="1"/>
    <w:qFormat/>
    <w:uiPriority w:val="0"/>
    <w:pPr>
      <w:keepNext/>
      <w:keepLines/>
      <w:spacing w:before="260" w:beforeLines="0" w:beforeAutospacing="0" w:after="260" w:afterLines="0" w:afterAutospacing="0" w:line="413" w:lineRule="auto"/>
      <w:ind w:firstLine="420" w:firstLineChars="200"/>
      <w:outlineLvl w:val="1"/>
    </w:pPr>
    <w:rPr>
      <w:rFonts w:ascii="Arial" w:hAnsi="Arial" w:eastAsia="黑体"/>
      <w:b/>
      <w:sz w:val="28"/>
    </w:rPr>
  </w:style>
  <w:style w:type="paragraph" w:styleId="4">
    <w:name w:val="heading 3"/>
    <w:basedOn w:val="1"/>
    <w:next w:val="1"/>
    <w:unhideWhenUsed/>
    <w:qFormat/>
    <w:uiPriority w:val="0"/>
    <w:pPr>
      <w:spacing w:beforeAutospacing="0" w:afterAutospacing="0" w:line="540" w:lineRule="exact"/>
      <w:jc w:val="center"/>
      <w:outlineLvl w:val="2"/>
    </w:pPr>
    <w:rPr>
      <w:rFonts w:hint="eastAsia" w:ascii="宋体" w:hAnsi="宋体" w:eastAsia="宋体" w:cs="宋体"/>
      <w:b/>
      <w:kern w:val="0"/>
      <w:sz w:val="24"/>
      <w:szCs w:val="27"/>
      <w:lang w:bidi="ar"/>
    </w:rPr>
  </w:style>
  <w:style w:type="character" w:default="1" w:styleId="20">
    <w:name w:val="Default Paragraph Font"/>
    <w:autoRedefine/>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kern w:val="2"/>
      <w:sz w:val="21"/>
    </w:rPr>
  </w:style>
  <w:style w:type="paragraph" w:styleId="6">
    <w:name w:val="caption"/>
    <w:basedOn w:val="7"/>
    <w:next w:val="8"/>
    <w:qFormat/>
    <w:uiPriority w:val="0"/>
    <w:pPr>
      <w:spacing w:line="360" w:lineRule="auto"/>
      <w:ind w:firstLine="200" w:firstLineChars="200"/>
    </w:pPr>
    <w:rPr>
      <w:rFonts w:ascii="Arial" w:hAnsi="Arial" w:eastAsia="黑体" w:cs="Arial"/>
      <w:sz w:val="20"/>
      <w:szCs w:val="20"/>
    </w:rPr>
  </w:style>
  <w:style w:type="paragraph" w:customStyle="1" w:styleId="7">
    <w:name w:val="!基准"/>
    <w:qFormat/>
    <w:uiPriority w:val="5"/>
    <w:rPr>
      <w:rFonts w:ascii="Times New Roman" w:hAnsi="Times New Roman" w:eastAsia="宋体" w:cs="Times New Roman"/>
      <w:kern w:val="2"/>
      <w:sz w:val="21"/>
      <w:szCs w:val="21"/>
      <w:lang w:val="en-US" w:eastAsia="zh-CN" w:bidi="ar-SA"/>
    </w:rPr>
  </w:style>
  <w:style w:type="paragraph" w:customStyle="1" w:styleId="8">
    <w:name w:val="KY1正文"/>
    <w:basedOn w:val="7"/>
    <w:qFormat/>
    <w:uiPriority w:val="0"/>
    <w:pPr>
      <w:widowControl w:val="0"/>
      <w:snapToGrid w:val="0"/>
      <w:spacing w:before="156" w:beforeLines="50" w:after="156" w:afterLines="50" w:line="360" w:lineRule="auto"/>
      <w:ind w:firstLine="480" w:firstLineChars="200"/>
      <w:contextualSpacing/>
      <w:jc w:val="both"/>
    </w:pPr>
    <w:rPr>
      <w:rFonts w:cs="宋体"/>
      <w:color w:val="000000"/>
      <w:sz w:val="24"/>
    </w:rPr>
  </w:style>
  <w:style w:type="paragraph" w:styleId="9">
    <w:name w:val="annotation text"/>
    <w:basedOn w:val="1"/>
    <w:qFormat/>
    <w:uiPriority w:val="0"/>
    <w:pPr>
      <w:jc w:val="left"/>
    </w:pPr>
  </w:style>
  <w:style w:type="paragraph" w:styleId="10">
    <w:name w:val="Body Text"/>
    <w:basedOn w:val="1"/>
    <w:qFormat/>
    <w:uiPriority w:val="0"/>
    <w:pPr>
      <w:spacing w:after="120"/>
    </w:pPr>
  </w:style>
  <w:style w:type="paragraph" w:styleId="11">
    <w:name w:val="Body Text Indent"/>
    <w:basedOn w:val="1"/>
    <w:next w:val="1"/>
    <w:qFormat/>
    <w:uiPriority w:val="0"/>
    <w:pPr>
      <w:spacing w:after="120"/>
      <w:ind w:left="420" w:leftChars="200"/>
    </w:pPr>
    <w:rPr>
      <w:kern w:val="0"/>
      <w:sz w:val="20"/>
      <w:szCs w:val="21"/>
    </w:rPr>
  </w:style>
  <w:style w:type="paragraph" w:styleId="12">
    <w:name w:val="Plain Text"/>
    <w:basedOn w:val="1"/>
    <w:qFormat/>
    <w:uiPriority w:val="0"/>
    <w:rPr>
      <w:rFonts w:ascii="宋体" w:hAnsi="Courier New"/>
      <w:szCs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Body Text First Indent 2"/>
    <w:basedOn w:val="11"/>
    <w:next w:val="1"/>
    <w:qFormat/>
    <w:uiPriority w:val="0"/>
    <w:pPr>
      <w:ind w:firstLine="420" w:firstLineChars="200"/>
    </w:pPr>
    <w:rPr>
      <w:kern w:val="2"/>
      <w:sz w:val="24"/>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rPr>
  </w:style>
  <w:style w:type="paragraph" w:customStyle="1" w:styleId="22">
    <w:name w:val="样式 标题 3 + (中文) 黑体 小四 非加粗 段前: 7.8 磅 段后: 0 磅 行距: 固定值 20 磅_0"/>
    <w:basedOn w:val="23"/>
    <w:qFormat/>
    <w:uiPriority w:val="0"/>
    <w:pPr>
      <w:spacing w:before="0" w:after="0" w:line="400" w:lineRule="exact"/>
    </w:pPr>
    <w:rPr>
      <w:rFonts w:ascii="Times New Roman" w:hAnsi="Times New Roman" w:eastAsia="仿宋_GB2312" w:cs="Times New Roman"/>
      <w:sz w:val="24"/>
      <w:szCs w:val="24"/>
    </w:rPr>
  </w:style>
  <w:style w:type="paragraph" w:customStyle="1" w:styleId="23">
    <w:name w:val="标题 31"/>
    <w:basedOn w:val="24"/>
    <w:next w:val="24"/>
    <w:qFormat/>
    <w:uiPriority w:val="99"/>
    <w:pPr>
      <w:keepNext/>
      <w:keepLines/>
      <w:spacing w:before="260" w:after="260" w:line="412" w:lineRule="auto"/>
      <w:ind w:firstLine="137" w:firstLineChars="49"/>
      <w:outlineLvl w:val="2"/>
    </w:pPr>
    <w:rPr>
      <w:rFonts w:ascii="黑体" w:hAnsi="宋体" w:eastAsia="黑体"/>
      <w:sz w:val="28"/>
      <w:szCs w:val="28"/>
    </w:rPr>
  </w:style>
  <w:style w:type="paragraph" w:customStyle="1" w:styleId="24">
    <w:name w:val="正文1"/>
    <w:next w:val="25"/>
    <w:qFormat/>
    <w:uiPriority w:val="0"/>
    <w:pPr>
      <w:widowControl w:val="0"/>
      <w:jc w:val="both"/>
    </w:pPr>
    <w:rPr>
      <w:rFonts w:ascii="Times New Roman" w:hAnsi="Times New Roman" w:eastAsia="Times New Roman" w:cs="Times New Roman"/>
      <w:lang w:val="en-US" w:eastAsia="zh-CN" w:bidi="ar-SA"/>
    </w:rPr>
  </w:style>
  <w:style w:type="paragraph" w:customStyle="1" w:styleId="25">
    <w:name w:val="正文首行缩进 21"/>
    <w:basedOn w:val="26"/>
    <w:next w:val="22"/>
    <w:qFormat/>
    <w:uiPriority w:val="0"/>
    <w:pPr>
      <w:spacing w:after="120"/>
      <w:ind w:left="420" w:leftChars="200" w:firstLine="420" w:firstLineChars="200"/>
    </w:pPr>
  </w:style>
  <w:style w:type="paragraph" w:customStyle="1" w:styleId="26">
    <w:name w:val="正文文本缩进1"/>
    <w:basedOn w:val="24"/>
    <w:next w:val="24"/>
    <w:qFormat/>
    <w:uiPriority w:val="0"/>
    <w:pPr>
      <w:spacing w:after="120"/>
      <w:ind w:left="420" w:leftChars="200"/>
    </w:pPr>
  </w:style>
  <w:style w:type="paragraph" w:customStyle="1" w:styleId="27">
    <w:name w:val="无间隔1"/>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28">
    <w:name w:val="null3"/>
    <w:hidden/>
    <w:qFormat/>
    <w:uiPriority w:val="0"/>
    <w:rPr>
      <w:rFonts w:hint="eastAsia" w:asciiTheme="minorHAnsi" w:hAnsiTheme="minorHAnsi" w:eastAsiaTheme="minorEastAsia" w:cstheme="minorBidi"/>
      <w:lang w:val="en-US" w:eastAsia="zh-Hans"/>
    </w:rPr>
  </w:style>
  <w:style w:type="paragraph" w:customStyle="1" w:styleId="29">
    <w:name w:val="Fließtext"/>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8"/>
      <w:sz w:val="21"/>
      <w:szCs w:val="20"/>
      <w:lang w:val="en-US" w:eastAsia="zh-CN" w:bidi="ar-SA"/>
    </w:rPr>
  </w:style>
  <w:style w:type="paragraph" w:customStyle="1" w:styleId="30">
    <w:name w:val="样式3"/>
    <w:basedOn w:val="12"/>
    <w:autoRedefine/>
    <w:qFormat/>
    <w:uiPriority w:val="0"/>
    <w:pPr>
      <w:spacing w:line="0" w:lineRule="atLeast"/>
      <w:outlineLvl w:val="0"/>
    </w:pPr>
    <w:rPr>
      <w:sz w:val="28"/>
    </w:rPr>
  </w:style>
  <w:style w:type="paragraph" w:customStyle="1" w:styleId="31">
    <w:name w:val="WPSOffice手动目录 1"/>
    <w:qFormat/>
    <w:uiPriority w:val="0"/>
    <w:pPr>
      <w:ind w:leftChars="0"/>
    </w:pPr>
    <w:rPr>
      <w:rFonts w:ascii="Times New Roman" w:hAnsi="Times New Roman" w:eastAsia="宋体" w:cs="Times New Roman"/>
      <w:sz w:val="20"/>
      <w:szCs w:val="20"/>
    </w:rPr>
  </w:style>
  <w:style w:type="paragraph" w:customStyle="1" w:styleId="32">
    <w:name w:val="段"/>
    <w:next w:val="1"/>
    <w:qFormat/>
    <w:uiPriority w:val="99"/>
    <w:pPr>
      <w:autoSpaceDE w:val="0"/>
      <w:autoSpaceDN w:val="0"/>
      <w:adjustRightInd w:val="0"/>
      <w:snapToGrid w:val="0"/>
      <w:spacing w:line="360" w:lineRule="auto"/>
      <w:ind w:firstLine="200" w:firstLineChars="200"/>
      <w:jc w:val="both"/>
    </w:pPr>
    <w:rPr>
      <w:rFonts w:ascii="宋体" w:hAnsi="Times New Roman" w:eastAsia="宋体" w:cs="Times New Roman"/>
      <w:kern w:val="0"/>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110</Pages>
  <Words>6880</Words>
  <Characters>7465</Characters>
  <Lines>0</Lines>
  <Paragraphs>0</Paragraphs>
  <TotalTime>123</TotalTime>
  <ScaleCrop>false</ScaleCrop>
  <LinksUpToDate>false</LinksUpToDate>
  <CharactersWithSpaces>7536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36030</dc:creator>
  <cp:lastModifiedBy>史杰远</cp:lastModifiedBy>
  <cp:lastPrinted>2024-11-19T06:51:00Z</cp:lastPrinted>
  <dcterms:modified xsi:type="dcterms:W3CDTF">2025-01-03T01:31:01Z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99934E8D12D3488A98792DCC5A1AEEA7_13</vt:lpwstr>
  </property>
  <property fmtid="{D5CDD505-2E9C-101B-9397-08002B2CF9AE}" pid="4" name="KSOTemplateDocerSaveRecord">
    <vt:lpwstr>eyJoZGlkIjoiZjgwNTEyZWQ5MjI3MmNhNWVjY2VmMjEwNmJlZmRhMGIiLCJ1c2VySWQiOiIyMDMzOTUxNDQifQ==</vt:lpwstr>
  </property>
</Properties>
</file>