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jc w:val="center"/>
        <w:outlineLvl w:val="0"/>
        <w:rPr>
          <w:rFonts w:hint="eastAsia" w:ascii="宋体" w:hAnsi="宋体" w:eastAsia="宋体" w:cs="宋体"/>
          <w:b/>
          <w:color w:val="auto"/>
          <w:sz w:val="48"/>
          <w:highlight w:val="none"/>
        </w:rPr>
      </w:pPr>
    </w:p>
    <w:p>
      <w:pPr>
        <w:pStyle w:val="7"/>
        <w:jc w:val="center"/>
        <w:outlineLvl w:val="0"/>
        <w:rPr>
          <w:rFonts w:hint="eastAsia" w:ascii="宋体" w:hAnsi="宋体" w:eastAsia="宋体" w:cs="宋体"/>
          <w:color w:val="auto"/>
          <w:sz w:val="84"/>
          <w:szCs w:val="84"/>
          <w:highlight w:val="none"/>
        </w:rPr>
      </w:pPr>
      <w:r>
        <w:rPr>
          <w:rFonts w:hint="eastAsia" w:ascii="宋体" w:hAnsi="宋体" w:eastAsia="宋体" w:cs="宋体"/>
          <w:b/>
          <w:color w:val="auto"/>
          <w:sz w:val="84"/>
          <w:szCs w:val="84"/>
          <w:highlight w:val="none"/>
        </w:rPr>
        <w:t>福建省政府采购</w:t>
      </w:r>
    </w:p>
    <w:p>
      <w:pPr>
        <w:pStyle w:val="7"/>
        <w:jc w:val="center"/>
        <w:outlineLvl w:val="0"/>
        <w:rPr>
          <w:rFonts w:hint="eastAsia" w:ascii="宋体" w:hAnsi="宋体" w:eastAsia="宋体" w:cs="宋体"/>
          <w:color w:val="auto"/>
          <w:sz w:val="84"/>
          <w:szCs w:val="84"/>
          <w:highlight w:val="none"/>
        </w:rPr>
      </w:pPr>
      <w:r>
        <w:rPr>
          <w:rFonts w:hint="eastAsia" w:ascii="宋体" w:hAnsi="宋体" w:eastAsia="宋体" w:cs="宋体"/>
          <w:b/>
          <w:color w:val="auto"/>
          <w:sz w:val="84"/>
          <w:szCs w:val="84"/>
          <w:highlight w:val="none"/>
        </w:rPr>
        <w:t>货物和服务项目</w:t>
      </w:r>
    </w:p>
    <w:p>
      <w:pPr>
        <w:pStyle w:val="7"/>
        <w:jc w:val="center"/>
        <w:outlineLvl w:val="0"/>
        <w:rPr>
          <w:rFonts w:hint="eastAsia" w:ascii="宋体" w:hAnsi="宋体" w:eastAsia="宋体" w:cs="宋体"/>
          <w:color w:val="auto"/>
          <w:sz w:val="84"/>
          <w:szCs w:val="84"/>
          <w:highlight w:val="none"/>
        </w:rPr>
      </w:pPr>
      <w:r>
        <w:rPr>
          <w:rFonts w:hint="eastAsia" w:ascii="宋体" w:hAnsi="宋体" w:eastAsia="宋体" w:cs="宋体"/>
          <w:b/>
          <w:color w:val="auto"/>
          <w:sz w:val="84"/>
          <w:szCs w:val="84"/>
          <w:highlight w:val="none"/>
        </w:rPr>
        <w:t>公开招标文</w:t>
      </w:r>
      <w:bookmarkStart w:id="4" w:name="_GoBack"/>
      <w:bookmarkEnd w:id="4"/>
      <w:r>
        <w:rPr>
          <w:rFonts w:hint="eastAsia" w:ascii="宋体" w:hAnsi="宋体" w:eastAsia="宋体" w:cs="宋体"/>
          <w:b/>
          <w:color w:val="auto"/>
          <w:sz w:val="84"/>
          <w:szCs w:val="84"/>
          <w:highlight w:val="none"/>
        </w:rPr>
        <w:t>件</w:t>
      </w:r>
    </w:p>
    <w:p>
      <w:pPr>
        <w:pStyle w:val="7"/>
        <w:jc w:val="center"/>
        <w:outlineLvl w:val="2"/>
        <w:rPr>
          <w:rFonts w:hint="eastAsia" w:ascii="宋体" w:hAnsi="宋体" w:eastAsia="宋体" w:cs="宋体"/>
          <w:b/>
          <w:color w:val="auto"/>
          <w:sz w:val="52"/>
          <w:szCs w:val="52"/>
          <w:highlight w:val="none"/>
          <w:lang w:eastAsia="zh-CN"/>
        </w:rPr>
      </w:pPr>
      <w:r>
        <w:rPr>
          <w:rFonts w:hint="eastAsia" w:ascii="宋体" w:hAnsi="宋体" w:eastAsia="宋体" w:cs="宋体"/>
          <w:b/>
          <w:color w:val="auto"/>
          <w:sz w:val="52"/>
          <w:szCs w:val="52"/>
          <w:highlight w:val="none"/>
          <w:lang w:eastAsia="zh-CN"/>
        </w:rPr>
        <w:t>（</w:t>
      </w:r>
      <w:r>
        <w:rPr>
          <w:rFonts w:hint="eastAsia" w:ascii="宋体" w:hAnsi="宋体" w:eastAsia="宋体" w:cs="宋体"/>
          <w:b/>
          <w:color w:val="auto"/>
          <w:sz w:val="52"/>
          <w:szCs w:val="52"/>
          <w:highlight w:val="none"/>
          <w:lang w:val="en-US" w:eastAsia="zh-CN"/>
        </w:rPr>
        <w:t>预公告版</w:t>
      </w:r>
      <w:r>
        <w:rPr>
          <w:rFonts w:hint="eastAsia" w:ascii="宋体" w:hAnsi="宋体" w:eastAsia="宋体" w:cs="宋体"/>
          <w:b/>
          <w:color w:val="auto"/>
          <w:sz w:val="52"/>
          <w:szCs w:val="52"/>
          <w:highlight w:val="none"/>
          <w:lang w:eastAsia="zh-CN"/>
        </w:rPr>
        <w:t>）</w:t>
      </w:r>
    </w:p>
    <w:p>
      <w:pPr>
        <w:pStyle w:val="7"/>
        <w:jc w:val="center"/>
        <w:outlineLvl w:val="2"/>
        <w:rPr>
          <w:rFonts w:hint="eastAsia" w:ascii="宋体" w:hAnsi="宋体" w:eastAsia="宋体" w:cs="宋体"/>
          <w:b/>
          <w:color w:val="auto"/>
          <w:sz w:val="28"/>
          <w:highlight w:val="none"/>
        </w:rPr>
      </w:pPr>
    </w:p>
    <w:p>
      <w:pPr>
        <w:pStyle w:val="7"/>
        <w:jc w:val="center"/>
        <w:outlineLvl w:val="2"/>
        <w:rPr>
          <w:rFonts w:hint="eastAsia" w:ascii="宋体" w:hAnsi="宋体" w:eastAsia="宋体" w:cs="宋体"/>
          <w:b/>
          <w:color w:val="auto"/>
          <w:sz w:val="28"/>
          <w:highlight w:val="none"/>
        </w:rPr>
      </w:pPr>
    </w:p>
    <w:p>
      <w:pPr>
        <w:pStyle w:val="7"/>
        <w:jc w:val="center"/>
        <w:outlineLvl w:val="2"/>
        <w:rPr>
          <w:rFonts w:hint="eastAsia" w:ascii="宋体" w:hAnsi="宋体" w:eastAsia="宋体" w:cs="宋体"/>
          <w:b/>
          <w:color w:val="auto"/>
          <w:sz w:val="30"/>
          <w:szCs w:val="30"/>
          <w:highlight w:val="none"/>
        </w:rPr>
      </w:pPr>
    </w:p>
    <w:p>
      <w:pPr>
        <w:pStyle w:val="7"/>
        <w:jc w:val="center"/>
        <w:outlineLvl w:val="2"/>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项目名称：彩色多普勒超声采购项目</w:t>
      </w:r>
    </w:p>
    <w:p>
      <w:pPr>
        <w:pStyle w:val="7"/>
        <w:jc w:val="center"/>
        <w:outlineLvl w:val="2"/>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备案编号：CGXM-2025-350001-00044[2025]00321</w:t>
      </w:r>
    </w:p>
    <w:p>
      <w:pPr>
        <w:pStyle w:val="7"/>
        <w:jc w:val="center"/>
        <w:outlineLvl w:val="2"/>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项目编号：[350001]ZXFZ[GK]2025003</w:t>
      </w:r>
    </w:p>
    <w:p>
      <w:pPr>
        <w:pStyle w:val="7"/>
        <w:jc w:val="center"/>
        <w:outlineLvl w:val="2"/>
        <w:rPr>
          <w:rFonts w:hint="eastAsia" w:ascii="宋体" w:hAnsi="宋体" w:eastAsia="宋体" w:cs="宋体"/>
          <w:b/>
          <w:color w:val="auto"/>
          <w:sz w:val="30"/>
          <w:szCs w:val="30"/>
          <w:highlight w:val="none"/>
        </w:rPr>
      </w:pPr>
    </w:p>
    <w:p>
      <w:pPr>
        <w:pStyle w:val="7"/>
        <w:jc w:val="center"/>
        <w:outlineLvl w:val="2"/>
        <w:rPr>
          <w:rFonts w:hint="eastAsia" w:ascii="宋体" w:hAnsi="宋体" w:eastAsia="宋体" w:cs="宋体"/>
          <w:b/>
          <w:color w:val="auto"/>
          <w:sz w:val="30"/>
          <w:szCs w:val="30"/>
          <w:highlight w:val="none"/>
        </w:rPr>
      </w:pPr>
    </w:p>
    <w:p>
      <w:pPr>
        <w:pStyle w:val="7"/>
        <w:jc w:val="center"/>
        <w:outlineLvl w:val="2"/>
        <w:rPr>
          <w:rFonts w:hint="eastAsia" w:ascii="宋体" w:hAnsi="宋体" w:eastAsia="宋体" w:cs="宋体"/>
          <w:b/>
          <w:color w:val="auto"/>
          <w:sz w:val="30"/>
          <w:szCs w:val="30"/>
          <w:highlight w:val="none"/>
        </w:rPr>
      </w:pPr>
    </w:p>
    <w:p>
      <w:pPr>
        <w:pStyle w:val="7"/>
        <w:jc w:val="center"/>
        <w:outlineLvl w:val="2"/>
        <w:rPr>
          <w:rFonts w:hint="eastAsia" w:ascii="宋体" w:hAnsi="宋体" w:eastAsia="宋体" w:cs="宋体"/>
          <w:b/>
          <w:color w:val="auto"/>
          <w:sz w:val="30"/>
          <w:szCs w:val="30"/>
          <w:highlight w:val="none"/>
        </w:rPr>
      </w:pPr>
    </w:p>
    <w:p>
      <w:pPr>
        <w:pStyle w:val="7"/>
        <w:jc w:val="center"/>
        <w:outlineLvl w:val="2"/>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采购人：福建省儿童医院</w:t>
      </w:r>
    </w:p>
    <w:p>
      <w:pPr>
        <w:pStyle w:val="7"/>
        <w:jc w:val="center"/>
        <w:outlineLvl w:val="2"/>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代理机构：福建省智信招标有限公司</w:t>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30"/>
          <w:szCs w:val="30"/>
          <w:highlight w:val="none"/>
        </w:rPr>
        <w:t>编制时间：2025年03月</w:t>
      </w:r>
      <w:r>
        <w:rPr>
          <w:rFonts w:hint="eastAsia" w:ascii="宋体" w:hAnsi="宋体" w:eastAsia="宋体" w:cs="宋体"/>
          <w:color w:val="auto"/>
          <w:sz w:val="30"/>
          <w:szCs w:val="30"/>
          <w:highlight w:val="none"/>
        </w:rPr>
        <w:t xml:space="preserve"> </w:t>
      </w:r>
      <w:r>
        <w:rPr>
          <w:rFonts w:hint="eastAsia" w:ascii="宋体" w:hAnsi="宋体" w:eastAsia="宋体" w:cs="宋体"/>
          <w:color w:val="auto"/>
          <w:sz w:val="30"/>
          <w:szCs w:val="30"/>
          <w:highlight w:val="none"/>
        </w:rPr>
        <w:br w:type="textWrapping"/>
      </w:r>
      <w:r>
        <w:rPr>
          <w:rFonts w:hint="eastAsia" w:ascii="宋体" w:hAnsi="宋体" w:eastAsia="宋体" w:cs="宋体"/>
          <w:color w:val="auto"/>
          <w:highlight w:val="none"/>
        </w:rPr>
        <w:br w:type="page"/>
      </w:r>
    </w:p>
    <w:p>
      <w:pPr>
        <w:pStyle w:val="7"/>
        <w:keepNext w:val="0"/>
        <w:keepLines w:val="0"/>
        <w:pageBreakBefore w:val="0"/>
        <w:widowControl/>
        <w:kinsoku/>
        <w:wordWrap/>
        <w:overflowPunct/>
        <w:topLinePunct w:val="0"/>
        <w:autoSpaceDE/>
        <w:autoSpaceDN/>
        <w:bidi w:val="0"/>
        <w:adjustRightInd/>
        <w:snapToGrid/>
        <w:spacing w:line="400" w:lineRule="exact"/>
        <w:jc w:val="center"/>
        <w:textAlignment w:val="auto"/>
        <w:outlineLvl w:val="1"/>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第一章 投标邀请</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福建省智信招标有限公司 采用公开招标方式组织 彩色多普勒超声采购项目 （以下简称：“本项目”）的政府采购活动，现邀请供应商参加投标。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1、备案编号：CGXM-2025-350001-00044[2025]00321</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2、项目编号：[350001]ZXFZ[GK]2025003</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3、预算金额、最高限价：详见《采购标的一览表》。</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4、招标内容及要求：详见《采购标的一览表》及招标文件第五章。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5、需要落实的政府采购政策</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进口产品：不适用。</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节能产品：适用于所有采购包，按照财库[2019]19号文所附品目清单执行。</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环境标志产品：适用于所有采购包,按照财库[2019]18号文所附品目清单执行。</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促进中小企业发展的相关政策：</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采购包1：不专门面向中小企业采购</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采购包2：不专门面向中小企业采购</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采购包3：不专门面向中小企业采购</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采购包4：不专门面向中小企业采购</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6、投标人的资格要求</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6.1法定条件：符合政府采购法第二十二条第一款规定的条件。</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6.2特定条件：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68"/>
        <w:gridCol w:w="67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68"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资格审查要求概况</w:t>
            </w:r>
          </w:p>
        </w:tc>
        <w:tc>
          <w:tcPr>
            <w:tcW w:w="6738"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68"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6738"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68"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具备履行合同所必需设备和专业技术能力专项证明材料 （注：本项不在资格承诺制范围内，投标人须按本项要求提供证明材料）</w:t>
            </w:r>
          </w:p>
        </w:tc>
        <w:tc>
          <w:tcPr>
            <w:tcW w:w="6738"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企业许可证》，投标货物若属于二类医疗器械，也可提供《二类医疗器械的经营备案凭证》(若有附件也应提供)，投标货物若属于一类医疗器械，则无须提供此项；②投标货物属于《医疗器械监督管理条例》规定的第一类医疗器械产品应提供《第一类医疗器械备案凭证》，属于第二类、第三类医疗器械产品应取得《医疗器械注册证》(若有附件也应提供)；③所有证明材料均应在有效期内； 2、所投产品规格型号应与注册证书上注明的产品规格型号保持一致； 3、投标货物不属于医疗器械管理的，请提供所投产品不属于医疗器械管理的专项说明函(格式自拟)。</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采购包2：</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09"/>
        <w:gridCol w:w="669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09"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资格审查要求概况</w:t>
            </w:r>
          </w:p>
        </w:tc>
        <w:tc>
          <w:tcPr>
            <w:tcW w:w="6697"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09"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6697"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09"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具备履行合同所必需设备和专业技术能力专项证明材料 （注：本项不在资格承诺制范围内，投标人须按本项要求提供证明材料）</w:t>
            </w:r>
          </w:p>
        </w:tc>
        <w:tc>
          <w:tcPr>
            <w:tcW w:w="6697"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企业许可证》，投标货物若属于二类医疗器械，也可提供《二类医疗器械的经营备案凭证》(若有附件也应提供)，投标货物若属于一类医疗器械，则无须提供此项；②投标货物属于《医疗器械监督管理条例》规定的第一类医疗器械产品应提供《第一类医疗器械备案凭证》，属于第二类、第三类医疗器械产品应取得《医疗器械注册证》(若有附件也应提供)；③所有证明材料均应在有效期内； 2、所投产品规格型号应与注册证书上注明的产品规格型号保持一致； 3、投标货物不属于医疗器械管理的，请提供所投产品不属于医疗器械管理的专项说明函(格式自拟)。</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采购包3：</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23"/>
        <w:gridCol w:w="668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2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资格审查要求概况</w:t>
            </w:r>
          </w:p>
        </w:tc>
        <w:tc>
          <w:tcPr>
            <w:tcW w:w="668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2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668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2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具备履行合同所必需设备和专业技术能力专项证明材料 （注：本项不在资格承诺制范围内，投标人须按本项要求提供证明材料）</w:t>
            </w:r>
          </w:p>
        </w:tc>
        <w:tc>
          <w:tcPr>
            <w:tcW w:w="668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企业许可证》，投标货物若属于二类医疗器械，也可提供《二类医疗器械的经营备案凭证》(若有附件也应提供)，投标货物若属于一类医疗器械，则无须提供此项；②投标货物属于《医疗器械监督管理条例》规定的第一类医疗器械产品应提供《第一类医疗器械备案凭证》，属于第二类、第三类医疗器械产品应取得《医疗器械注册证》(若有附件也应提供)；③所有证明材料均应在有效期内； 2、所投产品规格型号应与注册证书上注明的产品规格型号保持一致； 3、投标货物不属于医疗器械管理的，请提供所投产品不属于医疗器械管理的专项说明函(格式自拟)。</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采购包4：</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96"/>
        <w:gridCol w:w="671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9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资格审查要求概况</w:t>
            </w:r>
          </w:p>
        </w:tc>
        <w:tc>
          <w:tcPr>
            <w:tcW w:w="6710"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9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6710"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9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具备履行合同所必需设备和专业技术能力专项证明材料 （注：本项不在资格承诺制范围内，投标人须按本项要求提供证明材料）</w:t>
            </w:r>
          </w:p>
        </w:tc>
        <w:tc>
          <w:tcPr>
            <w:tcW w:w="6710"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企业许可证》，投标货物若属于二类医疗器械，也可提供《二类医疗器械的经营备案凭证》(若有附件也应提供)，投标货物若属于一类医疗器械，则无须提供此项；②投标货物属于《医疗器械监督管理条例》规定的第一类医疗器械产品应提供《第一类医疗器械备案凭证》，属于第二类、第三类医疗器械产品应取得《医疗器械注册证》(若有附件也应提供)；③所有证明材料均应在有效期内； 2、所投产品规格型号应与注册证书上注明的产品规格型号保持一致； 3、投标货物不属于医疗器械管理的，请提供所投产品不属于医疗器械管理的专项说明函(格式自拟)。</w:t>
            </w:r>
          </w:p>
        </w:tc>
      </w:tr>
    </w:tbl>
    <w:p>
      <w:pPr>
        <w:pStyle w:val="7"/>
        <w:keepNext w:val="0"/>
        <w:keepLines w:val="0"/>
        <w:pageBreakBefore w:val="0"/>
        <w:widowControl/>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6.3是否接受联合体投标：</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采购包1：不接受</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采购包2：不接受</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采购包3：不接受</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采购包4：不接受</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※根据上述资格要求，电子投标文件中应提交的“投标人的资格及资信证明文件”详见招标文件第四章。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7、招标文件的获取</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7.1、招标文件获取期限：详见招标公告或更正公告，若不一致，以更正公告为准。</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7.3、获取地点及方式：注册账号后，通过福建省政府采购网上公开信息系统以下载方式获取。</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7.4、招标文件售价：0元。</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8、投标截止</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8.1、投标截止时间：详见招标公告或更正公告，若不一致，以更正公告为准。</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8.2、投标人应在投标截止时间前按照福建省政府采购网上公开信息系统设定的操作流程将电子投标文件上传至福建省政府采购网上公开信息系统，否则投标将被拒绝。</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9、开标时间及地点</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详见招标公告或更正公告，若不一致，以更正公告为准。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10、公告期限</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10.1、招标公告的公告期限：自财政部和福建省财政厅指定的政府采购信息发布媒体最先发布公告之日起5个工作日。</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10.2、招标文件公告期限：招标文件随同招标公告一并发布，其公告期限与招标公告的公告期限保持一致。</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11、采购人：福建省儿童医院</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地址： 福州市鼓山镇横屿路966号</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邮编： 350014</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联系人： 吴工</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联系电话：  0591-87555759</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12、代理机构：福建省智信招标有限公司</w:t>
      </w:r>
    </w:p>
    <w:p>
      <w:pPr>
        <w:pStyle w:val="7"/>
        <w:keepNext w:val="0"/>
        <w:keepLines w:val="0"/>
        <w:pageBreakBefore w:val="0"/>
        <w:widowControl/>
        <w:kinsoku/>
        <w:wordWrap/>
        <w:overflowPunct/>
        <w:topLinePunct w:val="0"/>
        <w:autoSpaceDE/>
        <w:autoSpaceDN/>
        <w:bidi w:val="0"/>
        <w:adjustRightInd/>
        <w:snapToGrid/>
        <w:spacing w:line="400" w:lineRule="exact"/>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地址： 福州市鼓楼区五四路159号世界金龙大厦第14层A、C1单元</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邮编： 350003</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联系人： 郑雪妹、廖丽松、张博艺</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联系电话： 0591-87616211、87530730转810</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附1：账户信息</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投标保证金账户</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开户名称： 福建省智信招标有限公司</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开户银行：供应商在福建省政府采购网上公开信息系统获取招标文件后，根据其提示自行选择要缴交的投标保证金托管银行。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特别提示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1、投标人应认真核对账户信息，将投标保证金汇入以上账户，并自行承担因汇错投标保证金而产生的一切后果。</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2、投标人在转账或电汇的凭证上应按照以下格式注明，以便核对：“（项目编号：***）的投标保证金”。</w:t>
            </w:r>
          </w:p>
        </w:tc>
      </w:tr>
    </w:tbl>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附2：采购标的一览表</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采购包预算金额（元）: 2,920,000.00</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采购包最高限价（元）: 2,920,000.00</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采购包保证金金额（元）: 29,200.00</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5"/>
        <w:gridCol w:w="2037"/>
        <w:gridCol w:w="696"/>
        <w:gridCol w:w="1879"/>
        <w:gridCol w:w="903"/>
        <w:gridCol w:w="903"/>
        <w:gridCol w:w="149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标的金额 （元）</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所属行业</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彩色多普勒超声（心脏）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2,320,000.00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工业</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彩色多普勒超声仪</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600,000.00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工业</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采购包2：</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采购包预算金额（元）: 3,200,000.00</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采购包最高限价（元）: 3,200,000.00</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采购包保证金金额（元）: 32,000.00</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5"/>
        <w:gridCol w:w="2037"/>
        <w:gridCol w:w="696"/>
        <w:gridCol w:w="1879"/>
        <w:gridCol w:w="903"/>
        <w:gridCol w:w="903"/>
        <w:gridCol w:w="149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标的金额 （元）</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所属行业</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彩色多普勒超声（盆底）</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3,200,000.00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工业</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采购包3：</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采购包预算金额（元）: 2,300,000.00</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采购包最高限价（元）: 2,300,000.00</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采购包保证金金额（元）: 23,000.00</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99"/>
        <w:gridCol w:w="2127"/>
        <w:gridCol w:w="696"/>
        <w:gridCol w:w="1871"/>
        <w:gridCol w:w="885"/>
        <w:gridCol w:w="885"/>
        <w:gridCol w:w="145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标的金额 （元）</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所属行业</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彩色多普勒超声（全身机）</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2,300,000.00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工业</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采购包4：</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采购包预算金额（元）: 6,900,000.00</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采购包最高限价（元）: 6,900,000.00</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采购包保证金金额（元）: 69,000.00</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6"/>
        <w:gridCol w:w="1542"/>
        <w:gridCol w:w="696"/>
        <w:gridCol w:w="1927"/>
        <w:gridCol w:w="999"/>
        <w:gridCol w:w="999"/>
        <w:gridCol w:w="172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标的金额 （元）</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所属行业</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多普勒超声</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4,600,000.00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工业</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2,300,000.00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工业</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（1）报价要求：</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3"/>
        <w:gridCol w:w="2287"/>
        <w:gridCol w:w="986"/>
        <w:gridCol w:w="986"/>
        <w:gridCol w:w="1656"/>
        <w:gridCol w:w="987"/>
        <w:gridCol w:w="9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报价内容</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价款形式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彩色多普勒超声（心脏）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2,320,000.00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彩色多普勒超声仪</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600,000.00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（2）报价明细要求：</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彩色多普勒超声（心脏）</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59"/>
        <w:gridCol w:w="1623"/>
        <w:gridCol w:w="1623"/>
        <w:gridCol w:w="765"/>
        <w:gridCol w:w="765"/>
        <w:gridCol w:w="1656"/>
        <w:gridCol w:w="765"/>
        <w:gridCol w:w="76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报价明细内容</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报价要求</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价款形式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彩色多普勒超声（心脏）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彩色多普勒超声（心脏）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2,320,000.00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彩色多普勒超声仪</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0"/>
        <w:gridCol w:w="1471"/>
        <w:gridCol w:w="1471"/>
        <w:gridCol w:w="891"/>
        <w:gridCol w:w="891"/>
        <w:gridCol w:w="1416"/>
        <w:gridCol w:w="891"/>
        <w:gridCol w:w="89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报价明细内容</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报价要求</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价款形式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彩色多普勒超声仪</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彩色多普勒超声仪</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600,000.00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采购包2：</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（1）报价要求：</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3"/>
        <w:gridCol w:w="2287"/>
        <w:gridCol w:w="986"/>
        <w:gridCol w:w="986"/>
        <w:gridCol w:w="1656"/>
        <w:gridCol w:w="987"/>
        <w:gridCol w:w="9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报价内容</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价款形式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彩色多普勒超声（盆底）</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3,200,000.00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（2）报价明细要求：</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彩色多普勒超声（盆底）</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59"/>
        <w:gridCol w:w="1623"/>
        <w:gridCol w:w="1623"/>
        <w:gridCol w:w="765"/>
        <w:gridCol w:w="765"/>
        <w:gridCol w:w="1656"/>
        <w:gridCol w:w="765"/>
        <w:gridCol w:w="76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报价明细内容</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报价要求</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价款形式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彩色多普勒超声（盆底）</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彩色多普勒超声（盆底）</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3,200,000.00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采购包3：</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（1）报价要求：</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25"/>
        <w:gridCol w:w="2387"/>
        <w:gridCol w:w="963"/>
        <w:gridCol w:w="963"/>
        <w:gridCol w:w="1656"/>
        <w:gridCol w:w="964"/>
        <w:gridCol w:w="96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报价内容</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价款形式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彩色多普勒超声（全身机）</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2,300,000.00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（2）报价明细要求：</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彩色多普勒超声（全身机）</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53"/>
        <w:gridCol w:w="1664"/>
        <w:gridCol w:w="1664"/>
        <w:gridCol w:w="746"/>
        <w:gridCol w:w="746"/>
        <w:gridCol w:w="1656"/>
        <w:gridCol w:w="746"/>
        <w:gridCol w:w="74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报价明细内容</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报价要求</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价款形式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彩色多普勒超声（全身机）</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彩色多普勒超声（全身机）</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2,300,000.00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采购包4：</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（1）报价要求：</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2946"/>
        <w:gridCol w:w="550"/>
        <w:gridCol w:w="550"/>
        <w:gridCol w:w="1656"/>
        <w:gridCol w:w="1348"/>
        <w:gridCol w:w="101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04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报价内容</w:t>
            </w:r>
          </w:p>
        </w:tc>
        <w:tc>
          <w:tcPr>
            <w:tcW w:w="55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55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报价单位</w:t>
            </w:r>
          </w:p>
        </w:tc>
        <w:tc>
          <w:tcPr>
            <w:tcW w:w="138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p>
        </w:tc>
        <w:tc>
          <w:tcPr>
            <w:tcW w:w="138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价款形式</w:t>
            </w:r>
          </w:p>
        </w:tc>
        <w:tc>
          <w:tcPr>
            <w:tcW w:w="1038"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04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多普勒超声</w:t>
            </w:r>
          </w:p>
        </w:tc>
        <w:tc>
          <w:tcPr>
            <w:tcW w:w="55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55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1384" w:type="dxa"/>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4,600,000.00</w:t>
            </w:r>
          </w:p>
        </w:tc>
        <w:tc>
          <w:tcPr>
            <w:tcW w:w="138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1038"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304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w:t>
            </w:r>
          </w:p>
        </w:tc>
        <w:tc>
          <w:tcPr>
            <w:tcW w:w="55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55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1384" w:type="dxa"/>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2,300,000.00</w:t>
            </w:r>
          </w:p>
        </w:tc>
        <w:tc>
          <w:tcPr>
            <w:tcW w:w="138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1038"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（2）报价明细要求：</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多普勒超声</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23"/>
        <w:gridCol w:w="1291"/>
        <w:gridCol w:w="1124"/>
        <w:gridCol w:w="957"/>
        <w:gridCol w:w="957"/>
        <w:gridCol w:w="1656"/>
        <w:gridCol w:w="957"/>
        <w:gridCol w:w="95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报价明细内容</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报价要求</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价款形式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多普勒超声</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多普勒超声</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4,600,000.00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2"/>
        <w:gridCol w:w="1338"/>
        <w:gridCol w:w="1338"/>
        <w:gridCol w:w="897"/>
        <w:gridCol w:w="897"/>
        <w:gridCol w:w="1656"/>
        <w:gridCol w:w="897"/>
        <w:gridCol w:w="89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报价明细内容</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报价要求</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价款形式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彩色多普勒超声</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2,300,000.00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bl>
    <w:p>
      <w:pPr>
        <w:pStyle w:val="7"/>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pPr>
        <w:pStyle w:val="7"/>
        <w:keepNext w:val="0"/>
        <w:keepLines w:val="0"/>
        <w:pageBreakBefore w:val="0"/>
        <w:widowControl/>
        <w:kinsoku/>
        <w:wordWrap/>
        <w:overflowPunct/>
        <w:topLinePunct w:val="0"/>
        <w:autoSpaceDE/>
        <w:autoSpaceDN/>
        <w:bidi w:val="0"/>
        <w:adjustRightInd/>
        <w:snapToGrid/>
        <w:spacing w:line="400" w:lineRule="exact"/>
        <w:jc w:val="center"/>
        <w:textAlignment w:val="auto"/>
        <w:outlineLvl w:val="1"/>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第二章 投标人须知前附表</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一、投标人须知前附表1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0"/>
        <w:gridCol w:w="917"/>
        <w:gridCol w:w="711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0" w:type="auto"/>
            <w:gridSpan w:val="3"/>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特别提示：本表与招标文件对应章节的内容若不一致，以本表为准。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（第三章）</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是否组织现场考察或召开开标前答疑会：</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采购包1：不组织</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采购包2：不组织</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采购包3：不组织</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采购包4：不组织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10.4</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投标文件的份数：</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（1）可读介质（光盘或U盘） 0 份：投标人应将其上传至福建省政府采购网上公开信息系统的电子投标文件在该可读介质中另存 0 份。</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（2）电子投标文件：详见投标人须知前附表2《关于电子招标投标活动的专门规定》。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10.7-（1）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是否允许中标人将本项目的非主体、非关键性工作进行分包：</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采购包1：不允许合同分包；</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采购包2：不允许合同分包；</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采购包3：不允许合同分包；</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采购包4：不允许合同分包；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10.8-（1）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投标有效期：投标截止时间起 90 个日历日。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确定中标候选人名单：</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采购包1：1名</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采购包2：1名</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采购包3：1名</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采购包4：1名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本项目中标人的确定（以采购包为单位）：</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采购人应在政府采购招投标管理办法规定的时限内确定中标人。</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（2）若出现中标候选人并列情形，则按照下列方式确定中标人：</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①招标文件规定的方式：</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评标总得分（FA）且评标价（即价格扣除后的投标报价）相同的并列，则按“技术项”的得分从高到低排序推荐中标候选人；若投标人的评标总得分（FA）且评标价（即价格扣除后的投标报价）相同、技术项得分也相同的，则评标委员会在有关监督人员的监督下通过随机抽签的形式，确定他们之间的排名顺序。</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②若本款第①点规定方式为“无”，则按照下列方式确定：</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③若本款第①、②点规定方式均为“无”，则按照下列方式确定：随机抽取。</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（3）本项目确定的中标人家数：</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采购包1：1名</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采购包2：1名</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采购包3：1名</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采购包4：1名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合同签订时限： 自中标通知书发出之日起30个日历日内。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15.1-（2）</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质疑函原件应采用下列方式提交：书面形式。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15.4</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招标文件的质疑</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（1）潜在投标人可在质疑时效期间内对招标文件以书面形式提出质疑。</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（2）质疑时效期间：应在依法获取招标文件之日起7个工作日内向 福建省智信招标有限公司 提出，依法获取招标文件的时间以福建省政府采购网上公开信息系统记载的为准。</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※除上述规定外，对招标文件提出的质疑还应符合招标文件第三章第15.1条的有关规定。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监督管理部门： 福建省财政厅政府采购监督管理办公室 （仅限依法进行政府采购的货物或服务类项目）。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财政部和福建省财政厅指定的政府采购信息发布媒体（以下简称：“指定媒体”）：</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（1）中国政府采购网，网址www.ccgp.gov.cn。</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（2）中国政府采购网福建分网（福建省政府采购网），网址zfcg.czt.fujian.gov.cn。</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※若出现上述指定媒体信息不一致情形，应以中国政府采购网福建分网（福建省政府采购网）发布的为准。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其他事项：</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(1)本项目代理服务费：本项目收取代理服务费</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代理服务费用收取对象：中标/成交供应商</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服务费收费标准：中标人向招标代理机构交纳招标代理服务费(中标服务费)，招标代理服务费要求：①按采购包为单位，以中标金额作为计算基数，按差额定率累进法计算收取代理服务费：中标金额（万元）100万以下的部分，收费标准为 1.5% 。100～500万元的部分，收费费率标准为1.1%。500～1000万元的部分，收费费率标准为0.8%，1000～5000万元的部分，收费费率标准为0.5%。【各采购包按照以上标准整体下浮30%计取招标代理服务费，下浮后的代理服务费低于3000元按3000元收取。】②招标代理服务费的交纳方式：中标人应按规定的标准一次性向招标代理机构缴清招标代理服务费。 招标代理服务费专户：开户名：福建省智信招标有限公司；开户行：中国光大银行福州市杨桥支行；账号：087739120100304037933。</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其他：a、投标人应一次性就同一采购程序环节的内容提出质疑，若投标人多次对同一采购程序环节提出质疑的，采购代理机构将不予以受理。b、质疑受理的其它要求：质疑人递交质疑函时还应出具质疑人已在福建省政府采购网上公开信息系统上获取招标文件的证明文件（体现查看时间或获取招标文件时间）。【查看时间或获取招标文件时间以福建省政府采购网上公开信息系统记载为准。】在法定质疑期内质疑人须一次性提出针对同一采购程序环节的质疑，二（多）次质疑不予受理。c、解释权：采购人或采购代理机构拥有本项目招标文件的最终解释权。d、无效投标条款汇总：招标文件各章节中已列明的无效投标条款。e、本招标文件中一般资格证明文件中“经审计的上一年度的年度财务报告”指2023年度或2024年度，若文件有矛盾，以此为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f、</w:t>
            </w:r>
            <w:r>
              <w:rPr>
                <w:rFonts w:hint="eastAsia" w:ascii="宋体" w:hAnsi="宋体" w:eastAsia="宋体" w:cs="宋体"/>
                <w:color w:val="auto"/>
                <w:sz w:val="24"/>
                <w:szCs w:val="24"/>
                <w:highlight w:val="none"/>
              </w:rPr>
              <w:t>投标人应按采购包投标，对同一采购包内所有品目号内容投标时必须完整，评标与授标以采购包为单位。投标报价不得超出招标文件规定的最高限价。投标报价应包含投标货物所涉及的所有费用，包括货物制造、包装、运输、装卸、税金、验收、退换、保修、招标代理服务费等一切相关费用。</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g</w:t>
            </w:r>
            <w:r>
              <w:rPr>
                <w:rFonts w:hint="eastAsia" w:ascii="宋体" w:hAnsi="宋体" w:eastAsia="宋体" w:cs="宋体"/>
                <w:color w:val="auto"/>
                <w:sz w:val="24"/>
                <w:szCs w:val="24"/>
                <w:highlight w:val="none"/>
              </w:rPr>
              <w:t>、投标人必须保证所投产品具有在中国境内的合法使用权和用户保护权，有属于国家强制性要求的产品必须符合国家强制性认证规定。产品的制造标准及技术规范等有关资料必须符合国家相关标准、规范要求。</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h</w:t>
            </w:r>
            <w:r>
              <w:rPr>
                <w:rFonts w:hint="eastAsia" w:ascii="宋体" w:hAnsi="宋体" w:eastAsia="宋体" w:cs="宋体"/>
                <w:b/>
                <w:color w:val="auto"/>
                <w:sz w:val="24"/>
                <w:szCs w:val="24"/>
                <w:highlight w:val="none"/>
              </w:rPr>
              <w:t>、本项目采购包1核心产品为</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lang w:val="en-US" w:eastAsia="zh-CN"/>
              </w:rPr>
              <w:t>序号1</w:t>
            </w:r>
            <w:r>
              <w:rPr>
                <w:rFonts w:hint="eastAsia" w:ascii="宋体" w:hAnsi="宋体" w:eastAsia="宋体" w:cs="宋体"/>
                <w:b/>
                <w:color w:val="auto"/>
                <w:sz w:val="24"/>
                <w:szCs w:val="24"/>
                <w:highlight w:val="none"/>
              </w:rPr>
              <w:t>彩色多普勒超声（心脏）</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采购包</w:t>
            </w: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核心产品为</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lang w:val="en-US" w:eastAsia="zh-CN"/>
              </w:rPr>
              <w:t>序号1</w:t>
            </w:r>
            <w:r>
              <w:rPr>
                <w:rFonts w:hint="eastAsia" w:ascii="宋体" w:hAnsi="宋体" w:eastAsia="宋体" w:cs="宋体"/>
                <w:b/>
                <w:color w:val="auto"/>
                <w:sz w:val="24"/>
                <w:szCs w:val="24"/>
                <w:highlight w:val="none"/>
              </w:rPr>
              <w:t>多普勒超声，多家投标人提供的产品品牌相同的,按招标文件第四章6.4条款的规定处理。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gridSpan w:val="2"/>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后有投标人须知前附表2，请勿遗漏。</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二、投标人须知前附表2</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10"/>
        <w:gridCol w:w="801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gridSpan w:val="2"/>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（1）电子招标投标活动的专门规定适用本项目电子招标投标活动。</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（2）将招标文件</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的内容修正为下列内容：</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后适用本项目的电子招标投标活动。</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（3）将下列内容增列为招标文件的组成部分（以下简称：“增列内容”）适用本项目的电子招标投标活动，若增列内容与招标文件其他章节内容有冲突，应以增列内容为准：</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①电子招标投标活动的具体操作流程以福建省政府采购网上公开信息系统设定的为准。</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②关于电子投标文件：</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a.投标人应按照福建省政府采购网上公开信息系统设定的评审节点编制电子投标文件，否则资格审查小组、评标委员会将按照不利于投标人的内容进行认定。</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③关于证明材料或资料：</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b.若投标人提供注明“复印件无效”或“复印无效”的证明材料或资料，应结合上文a条款进行判定，若招标文件未要求投标人提供原件，投标人提供原件，复印件（含扫描件）均视为满足招标文件要求。</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④关于“全称”、“投标人代表签字”及“加盖单位公章”：</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a.在电子投标文件中，涉及“全称”和“投标人代表签字”的内容可使用打字录入方式完成。</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b.在电子投标文件中，涉及“加盖单位公章”的内容应使用投标人的CA证书完成，否则投标无效。</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c.在电子投标文件中，若投标人按照本增列内容第④点第b项规定加盖其单位公章，则出现无全称、或投标人代表未签字等情形，不视为投标无效。</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⑤关于投标人的CA证书：</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a.投标人的CA证书应在系统规定时间内使用CA证书进行电子投标文件的解密操作，逾期未解密的视为放弃投标。</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b.投标人的CA证书可采用信封（包括但不限于：信封、档案袋、文件袋等）作为外包装进行单独包装。外包装密封、不密封皆可。</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c.投标人的CA证书或外包装应标记“项目名称、项目编号、投标人的全称”等内容，以方便识别、使用。</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d.投标人的CA证书应能正常、有效使用，否则产生不利后果由投标人承担责任。</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⑥关于投标截止时间过后</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a.未按招标文件规定提交投标保证金的，其投标将按无效投标处理。</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b.有下列情形之一的，其投标无效,其保证金不予退还或通过投标保函进行索赔：</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b1不同投标人的电子投标文件具有相同内部识别码；</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b2不同投标人的投标保证金从同一单位或个人的账户转出；</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b3投标人的投标保证金同一采购包下有其他投标人提交的投标保证金；</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b4不同投标人存在串通投标的其他情形。</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⑦接受联合体投标且投标人为联合体的，投标人应由“联合体牵头方”完成福建省政府采购网上公开信息系统设定的具体操作流程（包括但不限于：招标文件获取、提交投标保证金、编制电子投标文件等）。</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⑧其他：</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a、本项目执行《关于福建省财政厅关于电子化政府采购项目中视为串标情形认定与处理的指导意见》(闽财购〔2018〕30号)规定。 b、远程开标的规定：b1.本项目支持远程开标，投标人可通过远程线上参与开标，具体系统操作指南详见福建省政府采购网首页上相关操作手册。 b2.本项目开标过程中解密的操作时限为30分钟，远程签章的操作时限为5分钟。请投标人务必密切关注实时开标流程，完成远程解密、远程签章。 b3.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 b4.在开标过程中，因系统故障等导致无法继续进行开标的，投标人须配合等待故障处理，待故障解除后继续开标。</w:t>
            </w:r>
          </w:p>
        </w:tc>
      </w:tr>
    </w:tbl>
    <w:p>
      <w:pPr>
        <w:pStyle w:val="7"/>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pPr>
        <w:pStyle w:val="7"/>
        <w:keepNext w:val="0"/>
        <w:keepLines w:val="0"/>
        <w:pageBreakBefore w:val="0"/>
        <w:widowControl/>
        <w:kinsoku/>
        <w:wordWrap/>
        <w:overflowPunct/>
        <w:topLinePunct w:val="0"/>
        <w:autoSpaceDE/>
        <w:autoSpaceDN/>
        <w:bidi w:val="0"/>
        <w:adjustRightInd/>
        <w:snapToGrid/>
        <w:spacing w:line="400" w:lineRule="exact"/>
        <w:jc w:val="center"/>
        <w:textAlignment w:val="auto"/>
        <w:outlineLvl w:val="1"/>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第三章 投标人须知</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一、总则</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1、适用范围</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1.1适用于招标文件载明项目的政府采购活动（以下简称：“本次采购活动”）。</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2、定义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2.1“采购标的”指招标文件载明的需要采购的货物或服务。</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2.2“潜在投标人”指按照招标文件第一章第7条规定获取招标文件且有意向参加本项目投标的供应商。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2.3“投标人”指按照招标文件第一章第7条规定获取招标文件并参加本项目投标的供应商。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2.4“单位负责人”指单位法定代表人或法律、法规规定代表单位行使职权的主要负责人。</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2.5“投标人代表”指投标人的单位负责人或“单位负责人授权书”中载明的接受授权方。</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二、投标人</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3、合格投标人</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3.1一般规定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（2）投标人的资格要求：详见招标文件第一章。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3.2若本项目接受联合体投标且投标人为联合体，则联合体各方应遵守本章第3.1条规定，同时还应遵守下列规定：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（1）联合体各方应提交联合体协议，联合体协议应符合招标文件规定。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（2）联合体各方不得再单独参加或与其他供应商另外组成联合体参加同一合同项下的投标。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（3）联合体各方应共同与采购人签订政府采购合同，就政府采购合同约定的事项对采购人承担连带责任。</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（5）联合体一方放弃中标的，视为联合体整体放弃中标，联合体各方承担连带责任。</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（6）如本项目不接受联合体投标而投标人为联合体的，或者本项目接受联合体投标但投标人组成的联合体不符合本章第3.2条规定的，投标无效。</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4、投标费用</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4.1除招标文件另有规定外，投标人应自行承担其参加本项目投标所涉及的一切费用。</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三、招标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5、招标文件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5.1招标文件由下述部分组成：</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（1）投标邀请</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（2）投标人须知前附表（表1、2）</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（3）投标人须知</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（4）资格审查与评标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（5）招标内容及要求</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（6）政府采购合同（参考文本）</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（7）电子投标文件格式</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（8）按照招标文件规定作为招标文件组成部分的其他内容（若有）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5.2招标文件的澄清或修改</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福建省智信招标有限公司 可对已发出的招标文件进行必要的澄清或修改，但不得对招标文件载明的采购标的和投标人的资格要求进行改变。</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（2）除本章第5.2条第（3）款规定情形外，澄清或修改的内容可能影响电子投标文件编制的， 福建省智信招标有限公司 将在投标截止时间至少15个日历日前，在招标文件载明的指定媒体以更正公告的形式发布澄清或修改的内容。不足15个日历日的， 福建省智信招标有限公司 将顺延投标截止时间及开标时间， 福建省智信招标有限公司 和投标人受原投标截止时间及开标时间制约的所有权利和义务均延长至新的投标截止时间及开标时间。</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（3）澄清或修改的内容可能改变招标文件载明的采购标的和投标人的资格要求的，本次采购活动结束， 福建省智信招标有限公司 将依法组织后续采购活动（包括但不限于：重新招标、采用其他方式采购等）。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6、现场考察或开标前答疑会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6.1是否组织现场考察或召开开标前答疑会：详见招标文件第二章。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7、更正公告</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7.1若 福建省智信招标有限公司 发布更正公告，则更正公告及其所发布的内容或信息（包括但不限于：招标文件的澄清或修改、现场考察或答疑会的有关事宜等）作为招标文件组成部分，对投标人具有约束力。</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7.2更正公告作为 福建省智信招标有限公司 通知所有潜在投标人的书面形式。</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8、终止公告</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8.1若出现因重大变故导致采购任务取消情形， 福建省智信招标有限公司 可终止招标并发布终止公告。</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8.2终止公告作为 福建省智信招标有限公司 通知所有潜在投标人的书面形式。</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四、投标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9、投标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9.1投标人可对招标文件载明的全部或部分采购包进行投标。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9.2投标人应对同一个采购包内的所有内容进行完整投标，否则投标无效。</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9.3投标人代表只能接受一个投标人的授权参加投标，否则投标无效。</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9.4单位负责人为同一人或存在直接控股、管理关系的不同供应商，不得同时参加同一合同项下的投标，否则投标无效。</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9.5为本项目提供整体设计、规范编制或项目管理、监理、检测等服务的供应商，不得参加本项目除整体设计、规范编制和项目管理、监理、检测等服务外的采购活动，否则投标无效。</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9.6列入失信被执行人、重大税收违法案件当事人名单、政府采购严重违法失信行为记录名单及其他不符合政府采购法第二十二条规定条件的供应商，不得参加投标，否则投标无效。</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9.7有下列情形之一的，视为投标人串通投标，其投标无效：</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（1）不同投标人的电子投标文件由同一单位或个人编制；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（2）不同投标人委托同一单位或个人办理投标事宜；</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（3）不同投标人的电子投标文件载明的项目管理成员或联系人员为同一人；</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（4）不同投标人的电子投标文件异常一致或投标报价呈规律性差异；</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（5）不同投标人的电子投标文件相互混装；</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（6）不同投标人的投标保证金从同一单位或个人的账户转出；</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（7）有关法律、法规和规章及招标文件规定的其他串通投标情形。</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10、电子投标文件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10.1电子投标文件的编制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（1）投标人应先仔细阅读招标文件的全部内容后，再进行电子投标文件的编制。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（2）电子投标文件应按照本章第10.2条规定编制其组成部分。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（3）电子投标文件应满足招标文件提出的实质性要求和条件，并保证其所提交的全部资料是不可割离且真实、有效、准确、完整和不具有任何误导性的，否则造成不利后果由投标人承担责任。</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10.2电子投标文件由下述部分组成：</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（1）资格及资信证明部分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①投标函</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②投标人的资格及资信证明文件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③投标保证金</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（2）报价部分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①开标（报价）一览表</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②投标（响应）报价明细表</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③招标文件规定的价格扣除证明材料（若有）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④招标文件规定的加分证明材料（若有）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（3）技术商务部分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①标的说明一览表</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②技术和服务要求响应表</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③商务条件响应表</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④投标人提交的其他资料（若有）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⑤招标文件规定作为电子投标文件组成部分的其他内容（若有）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10.3电子投标文件的语言</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（1）除招标文件另有规定外，电子投标文件应使用中文文本，若有不同文本，以中文文本为准。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10.4投标文件的份数：详见招标文件第二章。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10.5电子投标文件的格式</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（1）除招标文件另有规定外，电子投标文件应使用招标文件第七章规定的格式。</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（2）除招标文件另有规定外，电子投标文件应使用不能擦去的墨料或墨水打印、书写或复印。</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（3）除招标文件另有规定外，电子投标文件应使用人民币作为计量货币。</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（4）除招标文件另有规定外，签署、盖章应遵守下列规定：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①电子投标文件应加盖投标人的单位公章。若投标人代表为单位授权的委托代理人，应提供“单位授权书”。</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②电子投标文件应没有涂改或行间插字，除非这些改动是根据 福建省智信招标有限公司 的指示进行的，或是为改正投标人造成的应修改的错误而进行的。若有前述改动，应按照下列规定之一对改动处进行处理：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a.投标人代表签字确认；</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b.加盖投标人的单位公章或校正章。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10.6投标报价</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（1）投标报价超出最高限价将导致投标无效。</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（2）最高限价由采购人根据价格测算情况，在预算金额的额度内合理设定。最高限价不得超出预算金额。</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（3）除招标文件另有规定外，电子投标文件不能出现任何选择性的投标报价，即每一个采购包和品目号的采购标的都只能有一个投标报价。任何选择性的投标报价将导致投标无效。</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10.7分包</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（1）是否允许中标人将本项目的非主体、非关键性工作进行分包：详见招标文件第二章。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（3）招标文件允许中标人将非主体、非关键性工作进行分包的项目，有下列情形之一的，中标人不得分包：</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①电子投标文件中未载明分包承担主体；</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②电子投标文件载明的分包承担主体不具备相应资质条件；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③电子投标文件载明的分包承担主体拟再次分包；</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④享受中小企业扶持政策获得政府采购合同的，小微企业不得将合同分包给大中型企业，中型企业不得将合同分包给大型企业。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10.8投标有效期</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（1）招标文件载明的投标有效期：详见招标文件第二章。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（2）电子投标文件承诺的投标有效期不得少于招标文件载明的投标有效期，否则投标无效。</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（3）根据本次采购活动的需要， 福建省智信招标有限公司 可于投标有效期届满之前书面要求投标人延长投标有效期，投标人应在 福建省智信招标有限公司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10.9投标保证金</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（1）投标保证金作为投标人按照招标文件规定履行相应投标责任、义务的约束及担保。</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（2）投标人以电子保函形式提交投标保证金的，保函的有效期应等于或长于电子投标文件承诺的投标有效期，否则投标无效。</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（3）提交</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①投标人以汇款形式缴纳投标保证金的，应从其银行账户（基本存款账户）按照下列方式：公对公转账方式向招标文件载明的投标保证金账户提交投标保证金，具体金额详见招标文件第一章。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③其他形式：</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④若本项目接受联合体投标且投标人为联合体，则联合体中的牵头方应按照本章第10.9条第（3）款第①、②、③点规定提交投标保证金。</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※除招标文件另有规定外，未按照上述规定提交投标保证金将导致资格审查不合格。</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（4）退还</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①在投标截止时间前撤回已提交的电子投标文件的投标人，其投标保证金将在 福建省智信招标有限公司 收到投标人书面撤回通知之日起5个工作日内退回原账户。</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②未中标人的投标保证金将在中标通知书发出之日起5个工作日内退回原账户。</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③中标人的投标保证金将在政府采购合同签订之日起5个工作日内退回原账户；合同签订之日以福建省政府采购网上公开信息系统记载的为准。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④终止招标的， 福建省智信招标有限公司 将在终止公告发布之日起5个工作日内退回已收取的投标保证金及其在银行产生的孳息。</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⑤除招标文件另有规定外，质疑或投诉涉及的投标人，若投标保证金尚未退还，则待质疑或投诉处理完毕后不计利息原额退还。</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※本章第10.9条第（4）款第①、②、③点规定的投标保证金退还时限不包括因投标人自身原因导致无法及时退还而增加的时间。</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（6）有下列情形之一的，投标保证金将不予退还或通过投标保函进行索赔：</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①投标人串通投标；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②投标人提供虚假材料；</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③投标人采取不正当手段诋毁、排挤其他投标人；</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④投标截止时间后，投标人在投标有效期内撤销电子投标文件；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⑤招标文件规定的其他不予退还情形；</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⑥中标人有下列情形之一的：</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a.除不可抗力外，因中标人自身原因未在中标通知书要求的期限内与采购人签订政府采购合同；</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b.未按照招标文件、投标文件的约定签订政府采购合同或提交履约保证金。</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※若上述投标保证金不予退还情形给采购人（采购代理机构）造成损失，则投标人还要承担相应的赔偿责任。</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10.10电子投标文件的提交</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（1）一个投标人只能提交一个电子投标文件，并按照招标文件第一章规定在系统上完成上传、解密操作。</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10.11电子投标文件的补充、修改或撤回</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（1）投标截止时间前，投标人可对所提交的电子投标文件进行补充、修改或撤回，并书面通知 福建省智信招标有限公司 。</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（2）补充、修改的内容应按照本章第10.5条第（4）款规定进行签署、盖章，并按照本章第10.10条规定提交，否则将被拒收。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※按照上述规定提交的补充、修改内容作为电子投标文件组成部分。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10.12除招标文件另有规定外，有下列情形之一的，投标无效：</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（1）电子投标文件未按照招标文件要求签署、盖章；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（2）不符合招标文件中规定的资格要求；</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（3）投标报价超过招标文件中规定的预算金额或最高限价；</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（4）电子投标文件含有采购人不能接受的附加条件；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（5）有关法律、法规和规章及招标文件规定的其他无效情形。</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五、开标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11、开标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福建省智信招标有限公司 将在招标文件载明的开标时间及地点主持召开开标会，并邀请投标人参加。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11.2开标会的主持人、唱标人、记录人及其他工作人员（若有）均由 福建省智信招标有限公司 派出，现场监督人员（若有）可由有关方面派出。</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11.4开标会应遵守下列规定：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（3）唱标结束后，参加现场开标会的投标人代表应对开标记录进行签字确认，通过远程参与开标流程的投标人须在系统远程签章开启后，在系统规定时间内对开标结果进行签章确认。</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（5）若投标人未到开标现场参加开标会，也未通过远程参加开标会的，视同认可开标结果。</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福建省智信招标有限公司 提出任何疑义或要求（包括质疑）。</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11.5投标截止时间后，参加投标的投标人不足三家的，不进行开标。同时，本次采购活动结束， 福建省智信招标有限公司 将依法组织后续采购活动（包括但不限于：重新招标、采用其他方式采购等）。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11.6投标截止时间后撤销投标的处理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投标截止时间后，投标人在投标有效期内撤销投标的，其撤销投标的行为无效。</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六、中标与政府采购合同</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12、中标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12.1本项目推荐的中标候选人家数：详见招标文件第二章。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12.2本项目中标人的确定：详见招标文件第二章。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12.3中标公告</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（1）中标人确定之日起2个工作日内， 福建省智信招标有限公司 将在招标文件载明的指定媒体以中标公告的形式发布中标结果。</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（2）中标公告的公告期限为1个工作日。</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12.4中标通知书</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（1）中标公告发布的同时， 福建省智信招标有限公司 将向中标人发出中标通知书。</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（2）中标通知书发出后，采购人不得违法改变中标结果，中标人无正当理由不得放弃中标。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13、政府采购合同</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13.2签订时限：详见须知前附表1的13.2。</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13.3政府采购合同的履行、违约责任和解决争议的方法等适用民法典。</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13.4采购人与中标人应根据政府采购合同的约定依法履行合同义务。</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13.5政府采购合同履行过程中，采购人若需追加与合同标的相同的货物或服务，则追加采购金额不得超过原合同采购金额的10%。</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13.6中标人在政府采购合同履行过程中应遵守有关法律、法规和规章的强制性规定（即使前述强制性规定有可能在招标文件中未予列明）。</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七、询问、质疑与投诉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14、询问</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14.1潜在投标人或投标人对本次采购活动的有关事项若有疑问，可向 福建省智信招标有限公司 提出询问， 福建省智信招标有限公司 将按照政府采购法及实施条例的有关规定进行答复。</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15、质疑</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15.1针对同一采购程序环节的质疑应在政府采购法及实施条例的时限内一次性提出，对一个项目的不同采购包提出质疑的，应当将各采购包质疑事项集中在一份质疑函中提出，并同时符合下列条件：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（1）对招标文件提出质疑的，质疑人应为潜在投标人，且两者的身份、名称等均应保持一致。对采购过程、结果提出质疑的，质疑人应为投标人，且两者的身份、名称等均应保持一致。</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（2）质疑人应按照招标文件第二章规定方式提交质疑函。</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（3）质疑函应包括下列主要内容：</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①质疑人的基本信息，至少包括：全称、地址、邮政编码等；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②所质疑项目的基本信息，至少包括：项目编号、项目名称等；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③所质疑的具体事项（以下简称：“质疑事项”）；</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④针对质疑事项提出的明确请求，前述明确请求指质疑人提出质疑的目的以及希望 福建省智信招标有限公司 对其质疑作出的处理结果，如：暂停招标投标活动、修改招标文件、停止或纠正违法违规行为、中标结果无效、废标、重新招标等；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⑤针对质疑事项导致质疑人自身权益受到损害的必要证明材料，至少包括：</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a.质疑人代表的身份证明材料：</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a2若本项目接受自然人投标且质疑人为自然人的，提供本人的身份证复印件。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b.其他证明材料（即事实依据和必要的法律依据）包括但不限于下列材料：</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b1所质疑的具体事项是与自己有利害关系的证明材料；</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b2质疑函所述事实存在的证明材料，如：采购文件、采购过程或中标结果违法违规或不符合采购文件要求等证明材料；</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b3依法应终止采购程序的证明材料；</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b4应重新采购的证明材料；</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b5采购文件、采购过程或中标、成交结果损害自己合法权益的证明材料等；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⑥质疑人代表及其联系方法的信息，至少包括：姓名、手机、电子信箱、邮寄地址等。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⑦提出质疑的日期。</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※质疑人为法人或其他组织的，质疑函应由单位负责人或委托代理人签字或盖章，并加盖投标人的单位公章。质疑人为自然人的，质疑函应由本人签字。</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15.2对不符合本章第15.1条规定的质疑，将按照下列规定进行处理：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（1）不符合其中第（1）、（2）条规定的，书面告知质疑人不予受理及其理由。</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（2）不符合其中第（3）条规定的，书面告知质疑人修改、补充后在规定时限内重新提交质疑函。</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15.3对符合本章第15.1条规定的质疑，将按照政府采购法及实施条例、政府采购质疑和投诉办法的有关规定进行答复。</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15.4招标文件的质疑：详见招标文件第二章。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16、投诉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16.2投诉应有明确的请求和必要的证明材料，投诉的事项不得超出已质疑事项的范围。</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八、政府采购政策</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17、政府采购政策由财政部根据国家的经济和社会发展政策并会同国家有关部委制定，包括但不限于下列具体政策要求：</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17.1进口产品指通过中国海关报关验放进入中国境内且产自关境外的产品，其中：</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（2）凡在海关特殊监管区域内企业生产或加工（包括从境外进口料件）销往境内其他地区的产品，不作为政府采购项下进口产品。</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（3）对从境外进入海关特殊监管区域，再经办理报关手续后从海关特殊监管区进入境内其他地区的产品，认定为进口产品。</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（4）招标文件列明不允许或未列明允许进口产品参加投标的，均视为拒绝进口产品参加投标。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（1）中小企业指符合下列条件的中型、小型、微型企业：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②符合中小企业划分标准的个体工商户，在政府采购活动中视同中小企业。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（2）在政府采购活动中，供应商提供的货物、工程或者服务符合下列情形的，享受本办法规定的中小企业扶持政策：</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①在货物采购项目中，货物由中小企业制造，即货物由中小企业生产且使用该中小企业商号或者注册商标；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②在工程采购项目中，工程由中小企业承建，即工程施工单位为中小企业；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③在服务采购项目中，服务由中小企业承接，即提供服务的人员为中小企业依照《中华人民共和国劳动合同法》订立劳动合同的从业人员。</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在货物采购项目中，供应商提供的货物既有中小企业制造货物，也有大型企业制造货物的，不享受本办法规定的中小企业扶持政策。</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以联合体形式参加政府采购活动，联合体各方均为中小企业的，联合体视同中小企业。其中，联合体各方均为小微企业的，联合体视同小微企业。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（3）投标人应当按照招标文件明确的采购标的对应行业的划分标准出具中小企业声明函。</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①监狱企业参加采购活动时，应提供由省级以上监狱管理局、戒毒管理局（含新疆生产建设兵团）出具的属于监狱企业的证明文件。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②监狱企业视同小型、微型企业。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（5）残疾人福利性单位指同时符合下列条件的单位：</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①安置的残疾人占本单位在职职工人数的比例不低于25%（含25%），并且安置的残疾人人数不少于10人（含10人）；</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②依法与安置的每位残疾人签订了一年以上（含一年）的劳动合同或服务协议；</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③为安置的每位残疾人按月足额缴纳了基本养老保险、基本医疗保险、失业保险、工伤保险和生育保险等社会保险费；</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④通过银行等金融机构向安置的每位残疾人，按月支付了不低于单位所在区县适用的经省级人民政府批准的月最低工资标准的工资；</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⑤提供本单位制造的货物、承担的工程或服务，或提供其他残疾人福利性单位制造的货物（不包括使用非残疾人福利性单位注册商标的货物）。</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17.4信用记录指由财政部确定的有关网站提供的相关主体信用信息。信用记录的查询及使用应符合财政部文件（财库[2016]125号）规定。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17.5为落实政府采购政策需满足的要求：详见招标文件第一章。</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九、本项目的有关信息</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18、本项目的有关信息，包括但不限于：招标公告、更正公告（若有）、招标文件、招标文件的澄清或修改（若有）、中标公告、终止公告（若有）、废标公告（若有）等都将在招标文件载明的指定媒体发布。</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18.1指定媒体：详见招标文件第二章。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18.2本项目的潜在投标人或投标人应随时关注指定媒体，否则产生不利后果由其自行承担。</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十、其他事项</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19、其他事项：</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19.2其他：详见招标文件第二章。</w:t>
      </w:r>
    </w:p>
    <w:p>
      <w:pPr>
        <w:pStyle w:val="7"/>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pPr>
        <w:pStyle w:val="7"/>
        <w:keepNext w:val="0"/>
        <w:keepLines w:val="0"/>
        <w:pageBreakBefore w:val="0"/>
        <w:widowControl/>
        <w:kinsoku/>
        <w:wordWrap/>
        <w:overflowPunct/>
        <w:topLinePunct w:val="0"/>
        <w:autoSpaceDE/>
        <w:autoSpaceDN/>
        <w:bidi w:val="0"/>
        <w:adjustRightInd/>
        <w:snapToGrid/>
        <w:spacing w:line="400" w:lineRule="exact"/>
        <w:jc w:val="center"/>
        <w:textAlignment w:val="auto"/>
        <w:outlineLvl w:val="1"/>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第四章 资格审查与评标</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一、资格审查</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1、开标结束后，由 福建省智信招标有限公司 负责资格审查小组的组建及资格审查工作的组织。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1.1资格审查小组</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资格审查小组由3人组成，并负责具体审查事务，其中由采购人派出的采购人代表至少1人，由福建省智信招标有限公司派出的工作人员至少1人，其余1人可为采购人代表或福建省智信招标有限公司的工作人员。</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1.2资格审查的依据是招标文件和电子投标文件。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1.3资格审查的范围及内容：电子投标文件（资格及资信证明部分），具体如下：</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（1）“投标函”；</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（2）“投标人的资格及资信证明文件”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①一般资格证明文件：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4"/>
        <w:gridCol w:w="1456"/>
        <w:gridCol w:w="657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资格审查要求概况</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单位授权书</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营业执照等证明文件</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提供财务状况报告(财务报告、或资信证明）</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依法缴纳税收证明材料</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依法缴纳社会保障资金证明材料</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具备履行合同所必需设备和专业技术能力的声明函(若有)</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参加采购活动前三年内在经营活动中没有重大违法记录的声明</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信用记录查询结果</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中小企业声明函（以资格条件落实中小企业扶持政策时适用 ）</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联合体协议（若有）</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①招标文件接受联合体投标且投标人为联合体的，投标人应提供本协议；否则无须提供。 ②本协议由委托代理人签字或盖章的，应按照招标文件第七章载明的格式提供“单位授权书”。</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采购包2：</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4"/>
        <w:gridCol w:w="1456"/>
        <w:gridCol w:w="657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资格审查要求概况</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单位授权书</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营业执照等证明文件</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提供财务状况报告(财务报告、或资信证明）</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依法缴纳税收证明材料</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依法缴纳社会保障资金证明材料</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具备履行合同所必需设备和专业技术能力的声明函(若有)</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参加采购活动前三年内在经营活动中没有重大违法记录的声明</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信用记录查询结果</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中小企业声明函（以资格条件落实中小企业扶持政策时适用 ）</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联合体协议（若有）</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①招标文件接受联合体投标且投标人为联合体的，投标人应提供本协议；否则无须提供。 ②本协议由委托代理人签字或盖章的，应按照招标文件第七章载明的格式提供“单位授权书”。</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采购包3：</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4"/>
        <w:gridCol w:w="1456"/>
        <w:gridCol w:w="657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资格审查要求概况</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单位授权书</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营业执照等证明文件</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提供财务状况报告(财务报告、或资信证明）</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依法缴纳税收证明材料</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依法缴纳社会保障资金证明材料</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具备履行合同所必需设备和专业技术能力的声明函(若有)</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参加采购活动前三年内在经营活动中没有重大违法记录的声明</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信用记录查询结果</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中小企业声明函（以资格条件落实中小企业扶持政策时适用 ）</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联合体协议（若有）</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①招标文件接受联合体投标且投标人为联合体的，投标人应提供本协议；否则无须提供。 ②本协议由委托代理人签字或盖章的，应按照招标文件第七章载明的格式提供“单位授权书”。</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采购包4：</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4"/>
        <w:gridCol w:w="1456"/>
        <w:gridCol w:w="657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资格审查要求概况</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单位授权书</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营业执照等证明文件</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提供财务状况报告(财务报告、或资信证明）</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依法缴纳税收证明材料</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依法缴纳社会保障资金证明材料</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具备履行合同所必需设备和专业技术能力的声明函(若有)</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参加采购活动前三年内在经营活动中没有重大违法记录的声明</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信用记录查询结果</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中小企业声明函（以资格条件落实中小企业扶持政策时适用 ）</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联合体协议（若有）</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①招标文件接受联合体投标且投标人为联合体的，投标人应提供本协议；否则无须提供。 ②本协议由委托代理人签字或盖章的，应按照招标文件第七章载明的格式提供“单位授权书”。</w:t>
            </w:r>
          </w:p>
        </w:tc>
      </w:tr>
    </w:tbl>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※备注说明</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①投标人应根据自身实际情况提供上述资格要求的证明材料，格式可参考招标文件第七章提供。</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②投标人提供的相应证明材料复印件均应符合：内容完整、清晰、整洁，并由投标人加盖其单位公章。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③根据招标文件第四章第一点资格审查的1.3“④其他资格证明文件”要求，允许供应商采用资格承诺制的并提供符合要求的资格承诺函，视为满足招标文件的资格要求。</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④.其他资格证明文件：</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73"/>
        <w:gridCol w:w="683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7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资格审查要求概况</w:t>
            </w:r>
          </w:p>
        </w:tc>
        <w:tc>
          <w:tcPr>
            <w:tcW w:w="683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7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683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7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具备履行合同所必需设备和专业技术能力专项证明材料 （注：本项不在资格承诺制范围内，投标人须按本项要求提供证明材料）</w:t>
            </w:r>
          </w:p>
        </w:tc>
        <w:tc>
          <w:tcPr>
            <w:tcW w:w="683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企业许可证》，投标货物若属于二类医疗器械，也可提供《二类医疗器械的经营备案凭证》(若有附件也应提供)，投标货物若属于一类医疗器械，则无须提供此项；②投标货物属于《医疗器械监督管理条例》规定的第一类医疗器械产品应提供《第一类医疗器械备案凭证》，属于第二类、第三类医疗器械产品应取得《医疗器械注册证》(若有附件也应提供)；③所有证明材料均应在有效期内； 2、所投产品规格型号应与注册证书上注明的产品规格型号保持一致； 3、投标货物不属于医疗器械管理的，请提供所投产品不属于医疗器械管理的专项说明函(格式自拟)。</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采购包2：</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73"/>
        <w:gridCol w:w="683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47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资格审查要求概况</w:t>
            </w:r>
          </w:p>
        </w:tc>
        <w:tc>
          <w:tcPr>
            <w:tcW w:w="683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7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683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7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具备履行合同所必需设备和专业技术能力专项证明材料 （注：本项不在资格承诺制范围内，投标人须按本项要求提供证明材料）</w:t>
            </w:r>
          </w:p>
        </w:tc>
        <w:tc>
          <w:tcPr>
            <w:tcW w:w="683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企业许可证》，投标货物若属于二类医疗器械，也可提供《二类医疗器械的经营备案凭证》(若有附件也应提供)，投标货物若属于一类医疗器械，则无须提供此项；②投标货物属于《医疗器械监督管理条例》规定的第一类医疗器械产品应提供《第一类医疗器械备案凭证》，属于第二类、第三类医疗器械产品应取得《医疗器械注册证》(若有附件也应提供)；③所有证明材料均应在有效期内； 2、所投产品规格型号应与注册证书上注明的产品规格型号保持一致； 3、投标货物不属于医疗器械管理的，请提供所投产品不属于医疗器械管理的专项说明函(格式自拟)。</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采购包3：</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91"/>
        <w:gridCol w:w="713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91"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资格审查要求概况</w:t>
            </w:r>
          </w:p>
        </w:tc>
        <w:tc>
          <w:tcPr>
            <w:tcW w:w="7131"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91"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7131"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91"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具备履行合同所必需设备和专业技术能力专项证明材料 （注：本项不在资格承诺制范围内，投标人须按本项要求提供证明材料）</w:t>
            </w:r>
          </w:p>
        </w:tc>
        <w:tc>
          <w:tcPr>
            <w:tcW w:w="7131"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企业许可证》，投标货物若属于二类医疗器械，也可提供《二类医疗器械的经营备案凭证》(若有附件也应提供)，投标货物若属于一类医疗器械，则无须提供此项；②投标货物属于《医疗器械监督管理条例》规定的第一类医疗器械产品应提供《第一类医疗器械备案凭证》，属于第二类、第三类医疗器械产品应取得《医疗器械注册证》(若有附件也应提供)；③所有证明材料均应在有效期内； 2、所投产品规格型号应与注册证书上注明的产品规格型号保持一致； 3、投标货物不属于医疗器械管理的，请提供所投产品不属于医疗器械管理的专项说明函(格式自拟)。</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采购包4：</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82"/>
        <w:gridCol w:w="672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82"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资格审查要求概况</w:t>
            </w:r>
          </w:p>
        </w:tc>
        <w:tc>
          <w:tcPr>
            <w:tcW w:w="672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82"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672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82"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具备履行合同所必需设备和专业技术能力专项证明材料 （注：本项不在资格承诺制范围内，投标人须按本项要求提供证明材料）</w:t>
            </w:r>
          </w:p>
        </w:tc>
        <w:tc>
          <w:tcPr>
            <w:tcW w:w="672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企业许可证》，投标货物若属于二类医疗器械，也可提供《二类医疗器械的经营备案凭证》(若有附件也应提供)，投标货物若属于一类医疗器械，则无须提供此项；②投标货物属于《医疗器械监督管理条例》规定的第一类医疗器械产品应提供《第一类医疗器械备案凭证》，属于第二类、第三类医疗器械产品应取得《医疗器械注册证》(若有附件也应提供)；③所有证明材料均应在有效期内； 2、所投产品规格型号应与注册证书上注明的产品规格型号保持一致； 3、投标货物不属于医疗器械管理的，请提供所投产品不属于医疗器械管理的专项说明函(格式自拟)。</w:t>
            </w:r>
          </w:p>
        </w:tc>
      </w:tr>
    </w:tbl>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（3）投标保证金。</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1.4有下列情形之一的，资格审查不合格：</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未按照招标文件规定提交投标函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未按照招标文件规定提交投标人的资格及资信文件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未按照招标文件规定提交投标保证金</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资格审查不合格项：</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85"/>
        <w:gridCol w:w="773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（1）资格及资信证明部分出现报价部分的全部或部分的投标报价信息（或组成资料）。（2）出现招标文件中载明“资格审查不合格”条款的规定。</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采购包2：</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资格审查不合格项：</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85"/>
        <w:gridCol w:w="773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（1）资格及资信证明部分出现报价部分的全部或部分的投标报价信息（或组成资料）。（2）出现招标文件中载明“资格审查不合格”条款的规定。</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采购包3：</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资格审查不合格项：</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85"/>
        <w:gridCol w:w="773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（1）资格及资信证明部分出现报价部分的全部或部分的投标报价信息（或组成资料）。（2）出现招标文件中载明“资格审查不合格”条款的规定。</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采购包4：</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资格审查不合格项：</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85"/>
        <w:gridCol w:w="773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（1）资格及资信证明部分出现报价部分的全部或部分的投标报价信息（或组成资料）。（2）出现招标文件中载明“资格审查不合格”条款的规定。</w:t>
            </w:r>
          </w:p>
        </w:tc>
      </w:tr>
    </w:tbl>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1.5若本项目接受联合体投标且投标人为联合体，联合体中有同类资质的供应商按照联合体分工承担相同工作的，应先按照资质等级较低的供应商确定资质等级，再按照本章第1.2、1.3、1.4条规定进行资格审查。</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2、资格审查情况不得私自外泄，有关信息由 福建省智信招标有限公司 统一对外发布。</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3、资格审查合格的投标人不足三家的，不进行评标。同时，本次采购活动结束， 福建省智信招标有限公司 将依法组织后续采购活动（包括但不限于：重新招标、采用其他方式采购等）。</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二、评标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4、资格审查结束后，由 福建省智信招标有限公司 负责评标委员会的组建及评标工作的组织。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5、评标委员会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由采购人代表和评审专家两部分共7人组成，其中由福建省政府采购评审专家库产生的评审专家5人，由采购人派出的采购人代表2人。</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5.2评标委员会负责具体评标事务，并按照下列原则依法独立履行有关职责：</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（1）评标应保护国家利益、社会公共利益和各方当事人合法权益，提高采购效益，保证项目质量。</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（2）评标应遵循公平、公正、科学、严谨和择优原则。</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（3）评标的依据是招标文件和电子投标文件。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（4）应按照招标文件规定推荐中标候选人或确定中标人。</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（5）评标应遵守下列评标纪律：</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①评标情况不得私自外泄，有关信息由 福建省智信招标有限公司 统一对外发布。</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②对 福建省智信招标有限公司 或投标人提供的要求保密的资料，不得摘记翻印和外传。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③不得收受投标人或有关人员的任何礼物，不得串联鼓动其他人袒护某投标人。若与投标人存在利害关系，则应主动声明并回避。</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④全体评委应按照招标文件规定进行评标，一切认定事项应查有实据且不得弄虚作假。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⑤评标中应充分发扬民主，推荐中标候选人或确定中标人后要服从评标报告。</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※对违反评标纪律的评委，将取消其评委资格，对评标工作造成严重损失者将予以通报批评乃至追究法律责任。</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6、评标程序</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6.1评标前的准备工作</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（1）全体评委应认真审阅招标文件，了解评委应履行或遵守的职责、义务和评标纪律。</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（2）参加评标委员会的采购人代表可对本项目的背景和采购需求进行介绍，介绍材料应以书面形式提交（随采购文件一并存档），介绍内容不得含有歧视性、倾向性意见，不得超出招标文件所述范围。</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6.2符合性审查</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（1）评标委员会依据招标文件的实质性要求，对通过资格审查的电子投标文件进行符合性审查，以确定其是否满足招标文件的实质性要求。</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（2）满足招标文件的实质性要求指电子投标文件对招标文件实质性要求的响应不存在重大偏差或保留。</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（5）评标委员会对所有投标人都执行相同的程序和标准。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（6）有下列情形之一的，符合性审查不合格：</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①项目一般情形：</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60"/>
        <w:gridCol w:w="1733"/>
        <w:gridCol w:w="602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序号</w:t>
            </w:r>
          </w:p>
        </w:tc>
        <w:tc>
          <w:tcPr>
            <w:tcW w:w="173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符合审查要求概况</w:t>
            </w:r>
          </w:p>
        </w:tc>
        <w:tc>
          <w:tcPr>
            <w:tcW w:w="6029"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73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情形1</w:t>
            </w:r>
          </w:p>
        </w:tc>
        <w:tc>
          <w:tcPr>
            <w:tcW w:w="6029"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73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情形2</w:t>
            </w:r>
          </w:p>
        </w:tc>
        <w:tc>
          <w:tcPr>
            <w:tcW w:w="6029"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属于招标文件第三章第10.12条规定的投标无效情形；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73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情形3</w:t>
            </w:r>
          </w:p>
        </w:tc>
        <w:tc>
          <w:tcPr>
            <w:tcW w:w="6029"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投标文件对招标文件实质性要求的响应存在重大偏离或保留。</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采购包2：</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60"/>
        <w:gridCol w:w="1748"/>
        <w:gridCol w:w="60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序号</w:t>
            </w:r>
          </w:p>
        </w:tc>
        <w:tc>
          <w:tcPr>
            <w:tcW w:w="1748"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符合审查要求概况</w:t>
            </w:r>
          </w:p>
        </w:tc>
        <w:tc>
          <w:tcPr>
            <w:tcW w:w="601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748"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情形1</w:t>
            </w:r>
          </w:p>
        </w:tc>
        <w:tc>
          <w:tcPr>
            <w:tcW w:w="601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748"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情形2</w:t>
            </w:r>
          </w:p>
        </w:tc>
        <w:tc>
          <w:tcPr>
            <w:tcW w:w="601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属于招标文件第三章第10.12条规定的投标无效情形；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748"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情形3</w:t>
            </w:r>
          </w:p>
        </w:tc>
        <w:tc>
          <w:tcPr>
            <w:tcW w:w="601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投标文件对招标文件实质性要求的响应存在重大偏离或保留。</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采购包3：</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60"/>
        <w:gridCol w:w="1748"/>
        <w:gridCol w:w="60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序号</w:t>
            </w:r>
          </w:p>
        </w:tc>
        <w:tc>
          <w:tcPr>
            <w:tcW w:w="1748"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符合审查要求概况</w:t>
            </w:r>
          </w:p>
        </w:tc>
        <w:tc>
          <w:tcPr>
            <w:tcW w:w="601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748"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情形1</w:t>
            </w:r>
          </w:p>
        </w:tc>
        <w:tc>
          <w:tcPr>
            <w:tcW w:w="601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748"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情形2</w:t>
            </w:r>
          </w:p>
        </w:tc>
        <w:tc>
          <w:tcPr>
            <w:tcW w:w="601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属于招标文件第三章第10.12条规定的投标无效情形；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748"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情形3</w:t>
            </w:r>
          </w:p>
        </w:tc>
        <w:tc>
          <w:tcPr>
            <w:tcW w:w="6014"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投标文件对招标文件实质性要求的响应存在重大偏离或保留。</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采购包4：</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60"/>
        <w:gridCol w:w="1793"/>
        <w:gridCol w:w="596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序号</w:t>
            </w:r>
          </w:p>
        </w:tc>
        <w:tc>
          <w:tcPr>
            <w:tcW w:w="179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符合审查要求概况</w:t>
            </w:r>
          </w:p>
        </w:tc>
        <w:tc>
          <w:tcPr>
            <w:tcW w:w="5969"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79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情形1</w:t>
            </w:r>
          </w:p>
        </w:tc>
        <w:tc>
          <w:tcPr>
            <w:tcW w:w="5969"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79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情形2</w:t>
            </w:r>
          </w:p>
        </w:tc>
        <w:tc>
          <w:tcPr>
            <w:tcW w:w="5969"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属于招标文件第三章第10.12条规定的投标无效情形；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793"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情形3</w:t>
            </w:r>
          </w:p>
        </w:tc>
        <w:tc>
          <w:tcPr>
            <w:tcW w:w="5969"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投标文件对招标文件实质性要求的响应存在重大偏离或保留。</w:t>
            </w:r>
          </w:p>
        </w:tc>
      </w:tr>
    </w:tbl>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②本项目规定的其他情形：</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61"/>
        <w:gridCol w:w="78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技术部分中出现报价部分的全部或部分的投标报价信息（或组成资料）。（2）对《第五章招标内容及要求》“二、技术和服务要求”中以“★”标示的内容有负偏离或未响应的。（3）违反招标文件中载明“投标无效”条款的规定。</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1"/>
        <w:gridCol w:w="766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1"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情形</w:t>
            </w:r>
          </w:p>
        </w:tc>
        <w:tc>
          <w:tcPr>
            <w:tcW w:w="7665"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41"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7665"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（1）对《第五章招标内容及要求》“ 三、商务要求”中标注“★”要求存在负偏离或者未响应的；（2）商务部分中出现报价部分的全部或部分的投标报价信息（或组成资料）的；（3）违反招标文件中载明“投标无效”条款的规定。</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附加符合性：无</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5"/>
        <w:gridCol w:w="790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投标报价超过招标文件中规定的预算金额或最高限价；（2）评标委员会认为投标人的报价明显低于其他通过符合性审查的投标人的报价，有可能影响产品质量或不能诚信履约的，应要求其在评标现场合理的时间内提供书面说明，必要时还应要求其一并提交有关证明材料；投标人不能证明其报价合理性的。根据《财政部关于印发关于在相关自由贸易试验区和自由贸易港开展推动解决政府采购异常低价问题试点工作的通知》 （财办库〔2024〕265号，本通知自2025年2月1日起施行）规定，“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3）违反招标文件中载明“投标无效”条款的规定。</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采购包2：</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61"/>
        <w:gridCol w:w="78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技术部分中出现报价部分的全部或部分的投标报价信息（或组成资料）。（2）对《第五章招标内容及要求》“二、技术和服务要求”中以“★”标示的内容有负偏离或未响应的。（3）违反招标文件中载明“投标无效”条款的规定。</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61"/>
        <w:gridCol w:w="78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（1）对《第五章招标内容及要求》“ 三、商务要求”中标注“★”要求存在负偏离或者未响应的；（2）商务部分中出现报价部分的全部或部分的投标报价信息（或组成资料）的；（3）违反招标文件中载明“投标无效”条款的规定。</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附加符合性：无</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5"/>
        <w:gridCol w:w="790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投标报价超过招标文件中规定的预算金额或最高限价；（2）评标委员会认为投标人的报价明显低于其他通过符合性审查的投标人的报价，有可能影响产品质量或不能诚信履约的，应要求其在评标现场合理的时间内提供书面说明，必要时还应要求其一并提交有关证明材料；投标人不能证明其报价合理性的。根据《财政部关于印发关于在相关自由贸易试验区和自由贸易港开展推动解决政府采购异常低价问题试点工作的通知》 （财办库〔2024〕265号，本通知自2025年2月1日起施行）规定，“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3）违反招标文件中载明“投标无效”条款的规定。</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采购包3：</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0"/>
        <w:gridCol w:w="74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00"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情形</w:t>
            </w:r>
          </w:p>
        </w:tc>
        <w:tc>
          <w:tcPr>
            <w:tcW w:w="740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00"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7406"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技术部分中出现报价部分的全部或部分的投标报价信息（或组成资料）。（2）对《第五章招标内容及要求》“二、技术和服务要求”中以“★”标示的内容有负偏离或未响应的。（3）违反招标文件中载明“投标无效”条款的规定。</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59"/>
        <w:gridCol w:w="714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59"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情形</w:t>
            </w:r>
          </w:p>
        </w:tc>
        <w:tc>
          <w:tcPr>
            <w:tcW w:w="7147"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59"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7147"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（1）对《第五章招标内容及要求》“ 三、商务要求”中标注“★”要求存在负偏离或者未响应的；（2）商务部分中出现报价部分的全部或部分的投标报价信息（或组成资料）的；（3）违反招标文件中载明“投标无效”条款的规定。</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附加符合性：无</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5"/>
        <w:gridCol w:w="790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投标报价超过招标文件中规定的预算金额或最高限价；（2）评标委员会认为投标人的报价明显低于其他通过符合性审查的投标人的报价，有可能影响产品质量或不能诚信履约的，应要求其在评标现场合理的时间内提供书面说明，必要时还应要求其一并提交有关证明材料；投标人不能证明其报价合理性的。根据《财政部关于印发关于在相关自由贸易试验区和自由贸易港开展推动解决政府采购异常低价问题试点工作的通知》 （财办库〔2024〕265号，本通知自2025年2月1日起施行）规定，“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3）违反招标文件中载明“投标无效”条款的规定。</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采购包4：</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41"/>
        <w:gridCol w:w="706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1"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情形</w:t>
            </w:r>
          </w:p>
        </w:tc>
        <w:tc>
          <w:tcPr>
            <w:tcW w:w="7065"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1"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7065"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技术部分中出现报价部分的全部或部分的投标报价信息（或组成资料）。（2）对《第五章招标内容及要求》“二、技术和服务要求”中以“★”标示的内容有负偏离或未响应的。（3）违反招标文件中载明“投标无效”条款的规定。</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55"/>
        <w:gridCol w:w="705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5"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情形</w:t>
            </w:r>
          </w:p>
        </w:tc>
        <w:tc>
          <w:tcPr>
            <w:tcW w:w="7051"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55"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7051" w:type="dxa"/>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（1）对《第五章招标内容及要求》“ 三、商务要求”中标注“★”要求存在负偏离或者未响应的；（2）商务部分中出现报价部分的全部或部分的投标报价信息（或组成资料）的；（3）违反招标文件中载明“投标无效”条款的规定。</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附加符合性：无</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5"/>
        <w:gridCol w:w="790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投标报价超过招标文件中规定的预算金额或最高限价；（2）评标委员会认为投标人的报价明显低于其他通过符合性审查的投标人的报价，有可能影响产品质量或不能诚信履约的，应要求其在评标现场合理的时间内提供书面说明，必要时还应要求其一并提交有关证明材料；投标人不能证明其报价合理性的。根据《财政部关于印发关于在相关自由贸易试验区和自由贸易港开展推动解决政府采购异常低价问题试点工作的通知》 （财办库〔2024〕265号，本通知自2025年2月1日起施行）规定，“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3）违反招标文件中载明“投标无效”条款的规定。</w:t>
            </w:r>
          </w:p>
        </w:tc>
      </w:tr>
    </w:tbl>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6.3澄清有关问题</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（1）对通过符合性审查的电子投标文件中含义不明确、同类问题表述不一致或有明显文字和计算错误的内容，评标委员会将以书面形式要求投标人作出必要的澄清、说明或补正。</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（3）电子投标文件报价出现前后不一致的，除招标文件另有规定外，按照下列规定修正：</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①开标（报价）一览表内容与电子投标文件中相应内容不一致的，以开标（报价）一览表为准；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②大写金额和小写金额不一致的，以大写金额为准；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③单价金额小数点或百分比有明显错位的，以开标（报价）一览表的总价为准，并修改单价；</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④总价金额与按照单价汇总金额不一致的，以单价金额计算结果为准。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※同时出现两种以上不一致的，按照前款规定的顺序修正。修正后的报价应按照本章第6.3条第（1）、（2）款规定经投标人确认后产生约束力，投标人不确认的，其投标无效。</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（4）关于细微偏差</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②评标委员会将以书面形式要求存在细微偏差的投标人在评标委员会规定的时间内予以补正。若无法补正，则评标委员会将按照不利于投标人的内容进行认定。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（5）关于投标描述（即电子投标文件中描述的内容）</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①投标描述前后不一致且不涉及证明材料的：按照本章第6.3条第（1）、（2）款规定执行。</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②投标描述与证明材料不一致或多份证明材料之间不一致的：</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a.评标委员会将要求投标人进行书面澄清，并按照不利于投标人的内容进行评标。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6.4比较与评价</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（1）按照本章第7条载明的评标方法和标准，对符合性审查合格的电子投标文件进行比较与评价。</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（2）关于相同品牌产品（政府采购服务类项目不适用本条款规定）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a.招标文件规定的方式：</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b.招标文件未规定的，采取随机抽取方式确定，其他投标无效。</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a.招标文件规定的方式：</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评标总得分（FA）且评标价（即价格扣除后的投标报价）相同的并列，则按“技术项”的得分从高到低排序推荐中标候选人；若投标人的评标总得分（FA）且评标价（即价格扣除后的投标报价）相同、技术项得分也相同的，则评标委员会在有关监督人员的监督下通过随机抽签的形式，确定他们之间的排名顺序。</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b.招标文件未规定的，采取随机抽取方式确定，其他同品牌投标人不作为中标候选人。</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③非单一产品采购项目，多家投标人提供的核心产品品牌相同的，按照本章第6.4条第（2）款第①、②规定处理。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（3）漏（缺）项</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①招标文件中要求列入报价的费用（含配置、功能），漏（缺）项的报价视为已经包括在投标总价中。</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②对多报项及赠送项的价格评标时不予核减，全部进入评标价评议。</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6.5推荐中标候选人：详见本章第7.2条规定。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6.6编写评标报告</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（1）评标报告由评标委员会负责编写。</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（2）评标报告应包括下列内容：</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①招标公告刊登的媒体名称、开标日期和地点；</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②投标人名单和评标委员会成员名单；</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③评标方法和标准；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④开标记录和评标情况及说明，包括无效投标人名单及原因；</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⑤评标结果，包括中标候选人名单或确定的中标人；</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⑥其他需要说明的情况，包括但不限于：评标过程中投标人的澄清、说明或补正，评委更换等。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6.8评委对需要共同认定的事项存在争议的，应按照少数服从多数的原则进行认定。持不同意见的评委应在评标报告上签署不同意见及理由，否则视为同意评标报告。</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6.9在评标过程中发现投标人有下列情形之一的，评标委员会应认定其投标无效，并书面报告本项目监督管理部门：</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（1）恶意串通（包括但不限于招标文件第三章第9.7条规定情形）；</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（2）妨碍其他投标人的竞争行为；</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（3）损害采购人或其他投标人的合法权益。</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6.10评标过程中，有下列情形之一的，应予废标：</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（1）符合性审查合格的投标人不足三家的；</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（2）有关法律、法规和规章规定废标的情形。</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※若废标，则本次采购活动结束， 福建省智信招标有限公司 将依法组织后续采购活动（包括但不限于：重新招标、采用其他方式采购等）。</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7、评标方法和标准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7.1评标方法：</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采购包1：综合评分法</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采购包2：综合评分法</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采购包3：综合评分法</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采购包4：综合评分法</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7.2评标标准</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采购包1：综合评分法</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（1）投标文件满足招标文件全部实质性要求，且按照评审因素的量化指标评审得分（即评标总得分）最高的投标人为中标候选人。</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各项评审因素的设置如下：</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价格项（F1×A1）满分为30.0000分</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价格扣除的规则如下：</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38"/>
        <w:gridCol w:w="1124"/>
        <w:gridCol w:w="936"/>
        <w:gridCol w:w="522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适用对象</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比例</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小型、微型企业，监狱企业，残疾人福利性单位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投标人或者联合体均为小型、微型企业</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为非专门面向中小企业采购货物类项目。1、评审时，对符合《政府采购促进中小企业发展管理办法》（财库﹝2020﹞46号）及《福建省财政厅关于进一步加大政府采购支持中小企业力度的通知》（闽财规〔2022〕13号）规定的小微企业报价给予价格扣除【（1）货物和服务项目：为15%，对于联合协议或者分包意向协议约定小微企业的合同份额占到合同总金额30%以上的，对联合体或者大中型企业的报价扣除比例为 5%；（2）工程类项目：3%，对于联合协议或者分包意向协议约定小微企业的合同份额占到合同总金额30%以上的，对联合体或者大中型企业的报价扣除比例为 1%】，用扣除后的价格参加评审。投标人须提供合格的中小企业声明函（格式详见第七章），否则不予价格扣除。 2、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小微企业同等比例的价格扣除，但必须提供由省级以上监狱管理局、戒毒管理局（含新疆生产建设兵团）出具的属于监狱企业的证明文件，否则评审时不予价格扣除优惠。 3、根据财政部、民政部、中国残联文件（财库[2017]141号）、福建省财政厅《关于残疾人福利性单位参加政府采购活动价格扣除的通知》，凡符合上述文件要求条件的残疾人福利性单位在参加政府采购活动时视同小型、微型企业，享受预留份额、评审中价格扣除等促进中小企业发展的政府采购政策。此次若有参加投标的对残疾人福利性单位报价部分给予小微企业同等比例的扣除（对残疾人福利性单位与其他组织组成联合体参与政府采购活动的，残疾人福利性单位的协议合同金额占总合同金额30%以上的，货物和服务项目对联合体或者大中型企业的报价扣除比例为5%，工程项目对联合体或者大中型企业的报价扣除比例为3%），但必须提供《残疾人福利性单位声明函》（格式详见第七章），对于残疾人福利性单位参与货物项目的，必须标明具体哪些货物是其本单位制造的货物，或者是由其他残疾人福利性单位制造的货物（不包括使用非残疾人福利性单位注册商标的货物），仅有标明部分的货物才能启动价格扣除，并对声明的真实性负责，否则评审时不予价格扣除优惠。 4、具体详见招标文件第三章、第七章规定，上述规定与政府采购相关法律、法规、制度等有冲突的，以现行法律、法规、制度等执行。 5、本项目采购标的对应的中小企业划分标准所属行业详见“采购标的一览表”。</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优先类节能产品、环境标志产品的价格扣除规则如下</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4"/>
        <w:gridCol w:w="936"/>
        <w:gridCol w:w="659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比例</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节能、环境标志产品</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其他：无</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技术项（F2×A2）满分为60.0000分</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70"/>
        <w:gridCol w:w="816"/>
        <w:gridCol w:w="683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分值</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1.技术和服务要求响应</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根据各投标人所投货物对第五章《招标内容及要求》“二、技术和服务要求”中</w:t>
            </w:r>
            <w:r>
              <w:rPr>
                <w:rFonts w:hint="eastAsia" w:ascii="宋体" w:hAnsi="宋体" w:eastAsia="宋体" w:cs="宋体"/>
                <w:b/>
                <w:bCs/>
                <w:color w:val="auto"/>
                <w:sz w:val="24"/>
                <w:szCs w:val="24"/>
                <w:highlight w:val="none"/>
                <w:lang w:val="en-US" w:eastAsia="zh-CN"/>
              </w:rPr>
              <w:t>采购包1</w:t>
            </w:r>
            <w:r>
              <w:rPr>
                <w:rFonts w:hint="eastAsia" w:ascii="宋体" w:hAnsi="宋体" w:eastAsia="宋体" w:cs="宋体"/>
                <w:color w:val="auto"/>
                <w:sz w:val="24"/>
                <w:szCs w:val="24"/>
                <w:highlight w:val="none"/>
              </w:rPr>
              <w:t>各项要求的响应情况由评委进行评议并打分， 完全满足招标文件技术和服务要求的得</w:t>
            </w:r>
            <w:r>
              <w:rPr>
                <w:rFonts w:hint="eastAsia" w:ascii="宋体" w:hAnsi="宋体" w:eastAsia="宋体" w:cs="宋体"/>
                <w:color w:val="auto"/>
                <w:sz w:val="24"/>
                <w:szCs w:val="24"/>
                <w:highlight w:val="none"/>
                <w:lang w:val="en-US" w:eastAsia="zh-CN"/>
              </w:rPr>
              <w:t>60</w:t>
            </w:r>
            <w:r>
              <w:rPr>
                <w:rFonts w:hint="eastAsia" w:ascii="宋体" w:hAnsi="宋体" w:eastAsia="宋体" w:cs="宋体"/>
                <w:color w:val="auto"/>
                <w:sz w:val="24"/>
                <w:szCs w:val="24"/>
                <w:highlight w:val="none"/>
              </w:rPr>
              <w:t>分，其中，</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①以“★”标示的内容为必备参数，不允许负偏离的实质性要求，任一参数有负偏离或未响应的按无效投标处理；</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②标注有“▲”的技术参数为重要的技术参数（共计</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项）每负偏离一项扣</w:t>
            </w:r>
            <w:r>
              <w:rPr>
                <w:rFonts w:hint="eastAsia" w:ascii="宋体" w:hAnsi="宋体" w:eastAsia="宋体" w:cs="宋体"/>
                <w:color w:val="auto"/>
                <w:sz w:val="24"/>
                <w:szCs w:val="24"/>
                <w:highlight w:val="none"/>
                <w:lang w:val="en-US" w:eastAsia="zh-CN"/>
              </w:rPr>
              <w:t>2.4</w:t>
            </w:r>
            <w:r>
              <w:rPr>
                <w:rFonts w:hint="eastAsia" w:ascii="宋体" w:hAnsi="宋体" w:eastAsia="宋体" w:cs="宋体"/>
                <w:color w:val="auto"/>
                <w:sz w:val="24"/>
                <w:szCs w:val="24"/>
                <w:highlight w:val="none"/>
              </w:rPr>
              <w:t>分；</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③标为一般参数（共计</w:t>
            </w:r>
            <w:r>
              <w:rPr>
                <w:rFonts w:hint="eastAsia" w:ascii="宋体" w:hAnsi="宋体" w:eastAsia="宋体" w:cs="宋体"/>
                <w:color w:val="auto"/>
                <w:sz w:val="24"/>
                <w:szCs w:val="24"/>
                <w:highlight w:val="none"/>
                <w:lang w:val="en-US" w:eastAsia="zh-CN"/>
              </w:rPr>
              <w:t>72</w:t>
            </w:r>
            <w:r>
              <w:rPr>
                <w:rFonts w:hint="eastAsia" w:ascii="宋体" w:hAnsi="宋体" w:eastAsia="宋体" w:cs="宋体"/>
                <w:color w:val="auto"/>
                <w:sz w:val="24"/>
                <w:szCs w:val="24"/>
                <w:highlight w:val="none"/>
              </w:rPr>
              <w:t>项）的每负偏离一项扣</w:t>
            </w:r>
            <w:r>
              <w:rPr>
                <w:rFonts w:hint="eastAsia" w:ascii="宋体" w:hAnsi="宋体" w:eastAsia="宋体" w:cs="宋体"/>
                <w:color w:val="auto"/>
                <w:sz w:val="24"/>
                <w:szCs w:val="24"/>
                <w:highlight w:val="none"/>
                <w:lang w:val="en-US" w:eastAsia="zh-CN"/>
              </w:rPr>
              <w:t>0.7</w:t>
            </w:r>
            <w:r>
              <w:rPr>
                <w:rFonts w:hint="eastAsia" w:ascii="宋体" w:hAnsi="宋体" w:eastAsia="宋体" w:cs="宋体"/>
                <w:color w:val="auto"/>
                <w:sz w:val="24"/>
                <w:szCs w:val="24"/>
                <w:highlight w:val="none"/>
              </w:rPr>
              <w:t>分；正偏离不加分。【注：招标文件中技术参数若有要求投标人提供相应佐证材料的，投标人未提供相应佐证材料或者投标人的响应承诺与其佐证材料不一致的，评标委员会将以不利于投标人的内容为准进行评审（负偏离）。若投标人自行提供的其他佐证材料与投标人的响应承诺不一致的，评标委员会将以不利于投标人的内容为准进行评审（负偏离）。招标文件不一致的以此为准】</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商务项（F3×A3）满分为10.0000分</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4"/>
        <w:gridCol w:w="720"/>
        <w:gridCol w:w="715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分值</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1.培训计划</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0" w:type="auto"/>
            <w:vAlign w:val="top"/>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rPr>
              <w:t>根据投标人的投标文件中对采购人的管理人员、操作人员及设备维护人员进行培训、学术支持等承诺情况，由评委进行评分：方案内容能够完整、清晰阐述项目实施基础方案内容的同时确保方案实施的基础上增加有利于项目执行内容的得3分；方案能够内容完整、清晰的阐述了基本要求且符合项目实际操作的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分；有提供方案，但阐述内容未完整响应基本要求或方案阐述简短的得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2.售后服务</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的售后服务承诺、故障排除、修复措施等方面，由评委进行评分：方案内容能够完整、清晰阐述项目实施基础方案内容的同时确保方案实施的基础上增加有利于项目执行内容的得2分；方案能够内容完整、清晰的阐述了基本要求且符合项目实际操作的的得1.5分；有提供方案，但阐述内容未完整响应基本要求或方案阐述简短的得1分；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3.业绩</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根据各投标人所提供自2021年1月1日至本次投标截止日期（日期以验收报告为准）由投标人在国内所完成的与本次投标同类业绩情况，由评委进行评分：每提供一份完整合格的业绩项目得1分, 满分3分。【业绩项目中须含中标或成交公告（提供相关网站中标或成交公告的下载网页并注明网址）、中标或成交通知书复印件、采购合同文本复印件，以及能够证明该业绩项目已经采购人验收合格的相关证明文件复印件，未同时提供以上各项证明材料的，该项业绩不给予计分。）。（投标人在投标文件中应如实提供销售业绩项目证明文件的复印件，采购人将保留要求投标人提供销售业绩项目的证明文件原件予以核查的权利。】</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4.质保期</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投标人在响应招标文件要求的质保期年限基础上另外再延长质保期年限的：整个采购包每增加一年得1分，满分2分。【须提供承诺函，否则不得分】</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※除本章第6.3条第（3）款规定情形和落实政府采购政策需进行的价格扣除情形外，不能对投标人的投标报价进行任何调整。</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（3）中标候选人排列规则顺序如下：</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a.按照评标总得分（FA）由高到低顺序排列。</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b.评标总得分（FA）相同的，按照评标价（即价格扣除后的投标报价）由低到高顺序排列。</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c.评标总得分（FA）且评标价（即价格扣除后的投标报价）相同的并列。</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采购包2：综合评分法</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（1）投标文件满足招标文件全部实质性要求，且按照评审因素的量化指标评审得分（即评标总得分）最高的投标人为中标候选人。</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各项评审因素的设置如下：</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价格项（F1×A1）满分为30.0000分</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价格扣除的规则如下：</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38"/>
        <w:gridCol w:w="1124"/>
        <w:gridCol w:w="936"/>
        <w:gridCol w:w="522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适用对象</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比例</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小型、微型企业，监狱企业，残疾人福利性单位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投标人或者联合体均为小型、微型企业</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为非专门面向中小企业采购货物类项目。1、评审时，对符合《政府采购促进中小企业发展管理办法》（财库﹝2020﹞46号）及《福建省财政厅关于进一步加大政府采购支持中小企业力度的通知》（闽财规〔2022〕13号）规定的小微企业报价给予价格扣除【（1）货物和服务项目：为15%，对于联合协议或者分包意向协议约定小微企业的合同份额占到合同总金额30%以上的，对联合体或者大中型企业的报价扣除比例为 5%；（2）工程类项目：3%，对于联合协议或者分包意向协议约定小微企业的合同份额占到合同总金额30%以上的，对联合体或者大中型企业的报价扣除比例为 1%】，用扣除后的价格参加评审。投标人须提供合格的中小企业声明函（格式详见第七章），否则不予价格扣除。 2、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小微企业同等比例的价格扣除，但必须提供由省级以上监狱管理局、戒毒管理局（含新疆生产建设兵团）出具的属于监狱企业的证明文件，否则评审时不予价格扣除优惠。 3、根据财政部、民政部、中国残联文件（财库[2017]141号）、福建省财政厅《关于残疾人福利性单位参加政府采购活动价格扣除的通知》，凡符合上述文件要求条件的残疾人福利性单位在参加政府采购活动时视同小型、微型企业，享受预留份额、评审中价格扣除等促进中小企业发展的政府采购政策。此次若有参加投标的对残疾人福利性单位报价部分给予小微企业同等比例的扣除（对残疾人福利性单位与其他组织组成联合体参与政府采购活动的，残疾人福利性单位的协议合同金额占总合同金额30%以上的，货物和服务项目对联合体或者大中型企业的报价扣除比例为5%，工程项目对联合体或者大中型企业的报价扣除比例为3%），但必须提供《残疾人福利性单位声明函》（格式详见第七章），对于残疾人福利性单位参与货物项目的，必须标明具体哪些货物是其本单位制造的货物，或者是由其他残疾人福利性单位制造的货物（不包括使用非残疾人福利性单位注册商标的货物），仅有标明部分的货物才能启动价格扣除，并对声明的真实性负责，否则评审时不予价格扣除优惠。 4、具体详见招标文件第三章、第七章规定，上述规定与政府采购相关法律、法规、制度等有冲突的，以现行法律、法规、制度等执行。 5、本项目采购标的对应的中小企业划分标准所属行业详见“采购标的一览表”。</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优先类节能产品、环境标志产品的价格扣除规则如下</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4"/>
        <w:gridCol w:w="936"/>
        <w:gridCol w:w="659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比例</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节能、环境标志产品</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其他：无</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技术项（F2×A2）满分为60.0000分</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70"/>
        <w:gridCol w:w="816"/>
        <w:gridCol w:w="683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分值</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1.技术和服务要求响应</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根据各投标人所投货物对第五章《招标内容及要求》“二、技术和服务要求”中</w:t>
            </w:r>
            <w:r>
              <w:rPr>
                <w:rFonts w:hint="eastAsia" w:ascii="宋体" w:hAnsi="宋体" w:eastAsia="宋体" w:cs="宋体"/>
                <w:b/>
                <w:bCs/>
                <w:color w:val="auto"/>
                <w:sz w:val="24"/>
                <w:szCs w:val="24"/>
                <w:highlight w:val="none"/>
                <w:lang w:val="en-US" w:eastAsia="zh-CN"/>
              </w:rPr>
              <w:t>采购包2</w:t>
            </w:r>
            <w:r>
              <w:rPr>
                <w:rFonts w:hint="eastAsia" w:ascii="宋体" w:hAnsi="宋体" w:eastAsia="宋体" w:cs="宋体"/>
                <w:color w:val="auto"/>
                <w:sz w:val="24"/>
                <w:szCs w:val="24"/>
                <w:highlight w:val="none"/>
              </w:rPr>
              <w:t>各项要求的响应情况由评委进行评议并打分， 完全满足招标文件技术和服务要求的得</w:t>
            </w:r>
            <w:r>
              <w:rPr>
                <w:rFonts w:hint="eastAsia" w:ascii="宋体" w:hAnsi="宋体" w:eastAsia="宋体" w:cs="宋体"/>
                <w:color w:val="auto"/>
                <w:sz w:val="24"/>
                <w:szCs w:val="24"/>
                <w:highlight w:val="none"/>
                <w:lang w:val="en-US" w:eastAsia="zh-CN"/>
              </w:rPr>
              <w:t>60</w:t>
            </w:r>
            <w:r>
              <w:rPr>
                <w:rFonts w:hint="eastAsia" w:ascii="宋体" w:hAnsi="宋体" w:eastAsia="宋体" w:cs="宋体"/>
                <w:color w:val="auto"/>
                <w:sz w:val="24"/>
                <w:szCs w:val="24"/>
                <w:highlight w:val="none"/>
              </w:rPr>
              <w:t>分，其中，</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①以“★”标示的内容为必备参数，不允许负偏离的实质性要求，任一参数有负偏离或未响应的按无效投标处理；</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②标注有“▲”的技术参数为重要的技术参数（共计</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项）每负偏离一项扣</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③标为一般参数（共计</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项）的每负偏离一项扣</w:t>
            </w:r>
            <w:r>
              <w:rPr>
                <w:rFonts w:hint="eastAsia" w:ascii="宋体" w:hAnsi="宋体" w:eastAsia="宋体" w:cs="宋体"/>
                <w:color w:val="auto"/>
                <w:sz w:val="24"/>
                <w:szCs w:val="24"/>
                <w:highlight w:val="none"/>
                <w:lang w:val="en-US" w:eastAsia="zh-CN"/>
              </w:rPr>
              <w:t>2.55</w:t>
            </w:r>
            <w:r>
              <w:rPr>
                <w:rFonts w:hint="eastAsia" w:ascii="宋体" w:hAnsi="宋体" w:eastAsia="宋体" w:cs="宋体"/>
                <w:color w:val="auto"/>
                <w:sz w:val="24"/>
                <w:szCs w:val="24"/>
                <w:highlight w:val="none"/>
              </w:rPr>
              <w:t>分；正偏离不加分。【注：招标文件中技术参数若有要求投标人提供相应佐证材料的，投标人未提供相应佐证材料或者投标人的响应承诺与其佐证材料不一致的，评标委员会将以不利于投标人的内容为准进行评审（负偏离）。若投标人自行提供的其他佐证材料与投标人的响应承诺不一致的，评标委员会将以不利于投标人的内容为准进行评审（负偏离）。招标文件不一致的以此为准】</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商务项（F3×A3）满分为10.0000分</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4"/>
        <w:gridCol w:w="720"/>
        <w:gridCol w:w="715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分值</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1.培训计划</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0" w:type="auto"/>
            <w:vAlign w:val="top"/>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rPr>
              <w:t>根据投标人的投标文件中对采购人的管理人员、操作人员及设备维护人员进行培训、学术支持等承诺情况，由评委进行评分：方案内容能够完整、清晰阐述项目实施基础方案内容的同时确保方案实施的基础上增加有利于项目执行内容的得3分；方案能够内容完整、清晰的阐述了基本要求且符合项目实际操作的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分；有提供方案，但阐述内容未完整响应基本要求或方案阐述简短的得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2.售后服务</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的售后服务承诺、故障排除、修复措施等方面，由评委进行评分：方案内容能够完整、清晰阐述项目实施基础方案内容的同时确保方案实施的基础上增加有利于项目执行内容的得2分；方案能够内容完整、清晰的阐述了基本要求且符合项目实际操作的的得1.5分；有提供方案，但阐述内容未完整响应基本要求或方案阐述简短的得1分；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3.业绩</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根据各投标人所提供自2021年1月1日至本次投标截止日期（日期以验收报告为准）由投标人在国内所完成的与本次投标同类业绩情况，由评委进行评分：每提供一份完整合格的业绩项目得1分, 满分3分。【业绩项目中须含中标或成交公告（提供相关网站中标或成交公告的下载网页并注明网址）、中标或成交通知书复印件、采购合同文本复印件，以及能够证明该业绩项目已经采购人验收合格的相关证明文件复印件，未同时提供以上各项证明材料的，该项业绩不给予计分。）。（投标人在投标文件中应如实提供销售业绩项目证明文件的复印件，采购人将保留要求投标人提供销售业绩项目的证明文件原件予以核查的权利。】</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4.质保期</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投标人在响应招标文件要求的质保期年限基础上另外再延长质保期年限的：整个采购包每增加一年得1分，满分2分。【须提供承诺函，否则不得分】</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※除本章第6.3条第（3）款规定情形和落实政府采购政策需进行的价格扣除情形外，不能对投标人的投标报价进行任何调整。</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（3）中标候选人排列规则顺序如下：</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a.按照评标总得分（FA）由高到低顺序排列。</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b.评标总得分（FA）相同的，按照评标价（即价格扣除后的投标报价）由低到高顺序排列。</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c.评标总得分（FA）且评标价（即价格扣除后的投标报价）相同的并列。</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采购包3：综合评分法</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（1）投标文件满足招标文件全部实质性要求，且按照评审因素的量化指标评审得分（即评标总得分）最高的投标人为中标候选人。</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各项评审因素的设置如下：</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价格项（F1×A1）满分为30.0000分</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价格扣除的规则如下：</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38"/>
        <w:gridCol w:w="1124"/>
        <w:gridCol w:w="936"/>
        <w:gridCol w:w="522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适用对象</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比例</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小型、微型企业，监狱企业，残疾人福利性单位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投标人或者联合体均为小型、微型企业</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为非专门面向中小企业采购货物类项目。1、评审时，对符合《政府采购促进中小企业发展管理办法》（财库﹝2020﹞46号）及《福建省财政厅关于进一步加大政府采购支持中小企业力度的通知》（闽财规〔2022〕13号）规定的小微企业报价给予价格扣除【（1）货物和服务项目：为15%，对于联合协议或者分包意向协议约定小微企业的合同份额占到合同总金额30%以上的，对联合体或者大中型企业的报价扣除比例为 5%；（2）工程类项目：3%，对于联合协议或者分包意向协议约定小微企业的合同份额占到合同总金额30%以上的，对联合体或者大中型企业的报价扣除比例为 1%】，用扣除后的价格参加评审。投标人须提供合格的中小企业声明函（格式详见第七章），否则不予价格扣除。 2、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小微企业同等比例的价格扣除，但必须提供由省级以上监狱管理局、戒毒管理局（含新疆生产建设兵团）出具的属于监狱企业的证明文件，否则评审时不予价格扣除优惠。 3、根据财政部、民政部、中国残联文件（财库[2017]141号）、福建省财政厅《关于残疾人福利性单位参加政府采购活动价格扣除的通知》，凡符合上述文件要求条件的残疾人福利性单位在参加政府采购活动时视同小型、微型企业，享受预留份额、评审中价格扣除等促进中小企业发展的政府采购政策。此次若有参加投标的对残疾人福利性单位报价部分给予小微企业同等比例的扣除（对残疾人福利性单位与其他组织组成联合体参与政府采购活动的，残疾人福利性单位的协议合同金额占总合同金额30%以上的，货物和服务项目对联合体或者大中型企业的报价扣除比例为5%，工程项目对联合体或者大中型企业的报价扣除比例为3%），但必须提供《残疾人福利性单位声明函》（格式详见第七章），对于残疾人福利性单位参与货物项目的，必须标明具体哪些货物是其本单位制造的货物，或者是由其他残疾人福利性单位制造的货物（不包括使用非残疾人福利性单位注册商标的货物），仅有标明部分的货物才能启动价格扣除，并对声明的真实性负责，否则评审时不予价格扣除优惠。 4、具体详见招标文件第三章、第七章规定，上述规定与政府采购相关法律、法规、制度等有冲突的，以现行法律、法规、制度等执行。 5、本项目采购标的对应的中小企业划分标准所属行业详见“采购标的一览表”。</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优先类节能产品、环境标志产品的价格扣除规则如下</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4"/>
        <w:gridCol w:w="936"/>
        <w:gridCol w:w="659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比例</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节能、环境标志产品</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其他：无</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技术项（F2×A2）满分为60.0000分</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70"/>
        <w:gridCol w:w="816"/>
        <w:gridCol w:w="683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分值</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1.技术和服务要求响应</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根据各投标人所投货物对第五章《招标内容及要求》“二、技术和服务要求”中</w:t>
            </w:r>
            <w:r>
              <w:rPr>
                <w:rFonts w:hint="eastAsia" w:ascii="宋体" w:hAnsi="宋体" w:eastAsia="宋体" w:cs="宋体"/>
                <w:b/>
                <w:bCs/>
                <w:color w:val="auto"/>
                <w:sz w:val="24"/>
                <w:szCs w:val="24"/>
                <w:highlight w:val="none"/>
                <w:lang w:val="en-US" w:eastAsia="zh-CN"/>
              </w:rPr>
              <w:t>采购包3</w:t>
            </w:r>
            <w:r>
              <w:rPr>
                <w:rFonts w:hint="eastAsia" w:ascii="宋体" w:hAnsi="宋体" w:eastAsia="宋体" w:cs="宋体"/>
                <w:color w:val="auto"/>
                <w:sz w:val="24"/>
                <w:szCs w:val="24"/>
                <w:highlight w:val="none"/>
              </w:rPr>
              <w:t>各项要求的响应情况由评委进行评议并打分， 完全满足招标文件技术和服务要求的得</w:t>
            </w:r>
            <w:r>
              <w:rPr>
                <w:rFonts w:hint="eastAsia" w:ascii="宋体" w:hAnsi="宋体" w:eastAsia="宋体" w:cs="宋体"/>
                <w:color w:val="auto"/>
                <w:sz w:val="24"/>
                <w:szCs w:val="24"/>
                <w:highlight w:val="none"/>
                <w:lang w:val="en-US" w:eastAsia="zh-CN"/>
              </w:rPr>
              <w:t>60</w:t>
            </w:r>
            <w:r>
              <w:rPr>
                <w:rFonts w:hint="eastAsia" w:ascii="宋体" w:hAnsi="宋体" w:eastAsia="宋体" w:cs="宋体"/>
                <w:color w:val="auto"/>
                <w:sz w:val="24"/>
                <w:szCs w:val="24"/>
                <w:highlight w:val="none"/>
              </w:rPr>
              <w:t>分，其中，</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①以“★”标示的内容为必备参数，不允许负偏离的实质性要求，任一参数有负偏离或未响应的按无效投标处理；</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②标注有“▲”的技术参数为重要的技术参数（共计</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项）每负偏离一项扣</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③标为一般参数（共计</w:t>
            </w:r>
            <w:r>
              <w:rPr>
                <w:rFonts w:hint="eastAsia" w:ascii="宋体" w:hAnsi="宋体" w:eastAsia="宋体" w:cs="宋体"/>
                <w:color w:val="auto"/>
                <w:sz w:val="24"/>
                <w:szCs w:val="24"/>
                <w:highlight w:val="none"/>
                <w:lang w:val="en-US" w:eastAsia="zh-CN"/>
              </w:rPr>
              <w:t>40</w:t>
            </w:r>
            <w:r>
              <w:rPr>
                <w:rFonts w:hint="eastAsia" w:ascii="宋体" w:hAnsi="宋体" w:eastAsia="宋体" w:cs="宋体"/>
                <w:color w:val="auto"/>
                <w:sz w:val="24"/>
                <w:szCs w:val="24"/>
                <w:highlight w:val="none"/>
              </w:rPr>
              <w:t>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其中序号为6、10、11、13、14、25、31、33-39的参数</w:t>
            </w:r>
            <w:r>
              <w:rPr>
                <w:rFonts w:hint="eastAsia" w:ascii="宋体" w:hAnsi="宋体" w:eastAsia="宋体" w:cs="宋体"/>
                <w:color w:val="auto"/>
                <w:sz w:val="24"/>
                <w:szCs w:val="24"/>
                <w:highlight w:val="none"/>
              </w:rPr>
              <w:t>每负偏离一项扣</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其余序号的参数</w:t>
            </w:r>
            <w:r>
              <w:rPr>
                <w:rFonts w:hint="eastAsia" w:ascii="宋体" w:hAnsi="宋体" w:eastAsia="宋体" w:cs="宋体"/>
                <w:color w:val="auto"/>
                <w:sz w:val="24"/>
                <w:szCs w:val="24"/>
                <w:highlight w:val="none"/>
              </w:rPr>
              <w:t>每负偏离一项扣</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正偏离不加分。【注：招标文件中技术参数若有要求投标人提供相应佐证材料的，投标人未提供相应佐证材料或者投标人的响应承诺与其佐证材料不一致的，评标委员会将以不利于投标人的内容为准进行评审（负偏离）。若投标人自行提供的其他佐证材料与投标人的响应承诺不一致的，评标委员会将以不利于投标人的内容为准进行评审（负偏离）。招标文件不一致的以此为准】</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商务项（F3×A3）满分为10.0000分</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4"/>
        <w:gridCol w:w="720"/>
        <w:gridCol w:w="715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分值</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1.培训计划</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0" w:type="auto"/>
            <w:vAlign w:val="top"/>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rPr>
              <w:t>根据投标人的投标文件中对采购人的管理人员、操作人员及设备维护人员进行培训、学术支持等承诺情况，由评委进行评分：方案内容能够完整、清晰阐述项目实施基础方案内容的同时确保方案实施的基础上增加有利于项目执行内容的得3分；方案能够内容完整、清晰的阐述了基本要求且符合项目实际操作的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分；有提供方案，但阐述内容未完整响应基本要求或方案阐述简短的得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2.售后服务</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的售后服务承诺、故障排除、修复措施等方面，由评委进行评分：方案内容能够完整、清晰阐述项目实施基础方案内容的同时确保方案实施的基础上增加有利于项目执行内容的得2分；方案能够内容完整、清晰的阐述了基本要求且符合项目实际操作的的得1.5分；有提供方案，但阐述内容未完整响应基本要求或方案阐述简短的得1分；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3.业绩</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根据各投标人所提供自2021年1月1日至本次投标截止日期（日期以验收报告为准）由投标人在国内所完成的与本次投标同类业绩情况，由评委进行评分：每提供一份完整合格的业绩项目得1分, 满分3分。【业绩项目中须含中标或成交公告（提供相关网站中标或成交公告的下载网页并注明网址）、中标或成交通知书复印件、采购合同文本复印件，以及能够证明该业绩项目已经采购人验收合格的相关证明文件复印件，未同时提供以上各项证明材料的，该项业绩不给予计分。）。（投标人在投标文件中应如实提供销售业绩项目证明文件的复印件，采购人将保留要求投标人提供销售业绩项目的证明文件原件予以核查的权利。】</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4.质保期</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投标人在响应招标文件要求的质保期年限基础上另外再延长质保期年限的：整个采购包每增加一年得1分，满分2分。【须提供承诺函，否则不得分】</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※除本章第6.3条第（3）款规定情形和落实政府采购政策需进行的价格扣除情形外，不能对投标人的投标报价进行任何调整。</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（3）中标候选人排列规则顺序如下：</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a.按照评标总得分（FA）由高到低顺序排列。</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b.评标总得分（FA）相同的，按照评标价（即价格扣除后的投标报价）由低到高顺序排列。</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c.评标总得分（FA）且评标价（即价格扣除后的投标报价）相同的并列。</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采购包4：综合评分法</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（1）投标文件满足招标文件全部实质性要求，且按照评审因素的量化指标评审得分（即评标总得分）最高的投标人为中标候选人。</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各项评审因素的设置如下：</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价格项（F1×A1）满分为30.0000分</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价格扣除的规则如下：</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38"/>
        <w:gridCol w:w="1124"/>
        <w:gridCol w:w="936"/>
        <w:gridCol w:w="522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适用对象</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比例</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小型、微型企业，监狱企业，残疾人福利性单位</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投标人或者联合体均为小型、微型企业</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为非专门面向中小企业采购货物类项目。1、评审时，对符合《政府采购促进中小企业发展管理办法》（财库﹝2020﹞46号）及《福建省财政厅关于进一步加大政府采购支持中小企业力度的通知》（闽财规〔2022〕13号）规定的小微企业报价给予价格扣除【（1）货物和服务项目：为15%，对于联合协议或者分包意向协议约定小微企业的合同份额占到合同总金额30%以上的，对联合体或者大中型企业的报价扣除比例为 5%；（2）工程类项目：3%，对于联合协议或者分包意向协议约定小微企业的合同份额占到合同总金额30%以上的，对联合体或者大中型企业的报价扣除比例为 1%】，用扣除后的价格参加评审。投标人须提供合格的中小企业声明函（格式详见第七章），否则不予价格扣除。 2、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小微企业同等比例的价格扣除，但必须提供由省级以上监狱管理局、戒毒管理局（含新疆生产建设兵团）出具的属于监狱企业的证明文件，否则评审时不予价格扣除优惠。 3、根据财政部、民政部、中国残联文件（财库[2017]141号）、福建省财政厅《关于残疾人福利性单位参加政府采购活动价格扣除的通知》，凡符合上述文件要求条件的残疾人福利性单位在参加政府采购活动时视同小型、微型企业，享受预留份额、评审中价格扣除等促进中小企业发展的政府采购政策。此次若有参加投标的对残疾人福利性单位报价部分给予小微企业同等比例的扣除（对残疾人福利性单位与其他组织组成联合体参与政府采购活动的，残疾人福利性单位的协议合同金额占总合同金额30%以上的，货物和服务项目对联合体或者大中型企业的报价扣除比例为5%，工程项目对联合体或者大中型企业的报价扣除比例为3%），但必须提供《残疾人福利性单位声明函》（格式详见第七章），对于残疾人福利性单位参与货物项目的，必须标明具体哪些货物是其本单位制造的货物，或者是由其他残疾人福利性单位制造的货物（不包括使用非残疾人福利性单位注册商标的货物），仅有标明部分的货物才能启动价格扣除，并对声明的真实性负责，否则评审时不予价格扣除优惠。 4、具体详见招标文件第三章、第七章规定，上述规定与政府采购相关法律、法规、制度等有冲突的，以现行法律、法规、制度等执行。 5、本项目采购标的对应的中小企业划分标准所属行业详见“采购标的一览表”。</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优先类节能产品、环境标志产品的价格扣除规则如下</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4"/>
        <w:gridCol w:w="936"/>
        <w:gridCol w:w="659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比例</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节能、环境标志产品</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其他：无</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技术项（F2×A2）满分为60.0000分</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70"/>
        <w:gridCol w:w="816"/>
        <w:gridCol w:w="683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分值</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1.技术和服务要求响应</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根据各投标人所投货物对第五章《招标内容及要求》“二、技术和服务要求”中</w:t>
            </w:r>
            <w:r>
              <w:rPr>
                <w:rFonts w:hint="eastAsia" w:ascii="宋体" w:hAnsi="宋体" w:eastAsia="宋体" w:cs="宋体"/>
                <w:b/>
                <w:bCs/>
                <w:color w:val="auto"/>
                <w:sz w:val="24"/>
                <w:szCs w:val="24"/>
                <w:highlight w:val="none"/>
                <w:lang w:val="en-US" w:eastAsia="zh-CN"/>
              </w:rPr>
              <w:t>采购包4</w:t>
            </w:r>
            <w:r>
              <w:rPr>
                <w:rFonts w:hint="eastAsia" w:ascii="宋体" w:hAnsi="宋体" w:eastAsia="宋体" w:cs="宋体"/>
                <w:color w:val="auto"/>
                <w:sz w:val="24"/>
                <w:szCs w:val="24"/>
                <w:highlight w:val="none"/>
              </w:rPr>
              <w:t>各项要求的响应情况由评委进行评议并打分， 完全满足招标文件技术和服务要求的得</w:t>
            </w:r>
            <w:r>
              <w:rPr>
                <w:rFonts w:hint="eastAsia" w:ascii="宋体" w:hAnsi="宋体" w:eastAsia="宋体" w:cs="宋体"/>
                <w:color w:val="auto"/>
                <w:sz w:val="24"/>
                <w:szCs w:val="24"/>
                <w:highlight w:val="none"/>
                <w:lang w:val="en-US" w:eastAsia="zh-CN"/>
              </w:rPr>
              <w:t>60</w:t>
            </w:r>
            <w:r>
              <w:rPr>
                <w:rFonts w:hint="eastAsia" w:ascii="宋体" w:hAnsi="宋体" w:eastAsia="宋体" w:cs="宋体"/>
                <w:color w:val="auto"/>
                <w:sz w:val="24"/>
                <w:szCs w:val="24"/>
                <w:highlight w:val="none"/>
              </w:rPr>
              <w:t>分，</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其中，①以“★”标示的内容为必备参数，不允许负偏离的实质性要求，任一参数有负偏离或未响应的按无效投标处理；</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②标注有“▲”的技术参数为重要的技术参数（共计</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项）每负偏离一项扣</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③标为一般参数（共计</w:t>
            </w:r>
            <w:r>
              <w:rPr>
                <w:rFonts w:hint="eastAsia" w:ascii="宋体" w:hAnsi="宋体" w:eastAsia="宋体" w:cs="宋体"/>
                <w:color w:val="auto"/>
                <w:sz w:val="24"/>
                <w:szCs w:val="24"/>
                <w:highlight w:val="none"/>
                <w:lang w:val="en-US" w:eastAsia="zh-CN"/>
              </w:rPr>
              <w:t>38</w:t>
            </w:r>
            <w:r>
              <w:rPr>
                <w:rFonts w:hint="eastAsia" w:ascii="宋体" w:hAnsi="宋体" w:eastAsia="宋体" w:cs="宋体"/>
                <w:color w:val="auto"/>
                <w:sz w:val="24"/>
                <w:szCs w:val="24"/>
                <w:highlight w:val="none"/>
              </w:rPr>
              <w:t>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其中序号为10、12、16、17、23、27、31、33-38的参数</w:t>
            </w:r>
            <w:r>
              <w:rPr>
                <w:rFonts w:hint="eastAsia" w:ascii="宋体" w:hAnsi="宋体" w:eastAsia="宋体" w:cs="宋体"/>
                <w:color w:val="auto"/>
                <w:sz w:val="24"/>
                <w:szCs w:val="24"/>
                <w:highlight w:val="none"/>
              </w:rPr>
              <w:t>每负偏离一项扣</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其余序号的参数</w:t>
            </w:r>
            <w:r>
              <w:rPr>
                <w:rFonts w:hint="eastAsia" w:ascii="宋体" w:hAnsi="宋体" w:eastAsia="宋体" w:cs="宋体"/>
                <w:color w:val="auto"/>
                <w:sz w:val="24"/>
                <w:szCs w:val="24"/>
                <w:highlight w:val="none"/>
              </w:rPr>
              <w:t>每负偏离一项扣</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正偏离不加分。【注：招标文件中技术参数若有要求投标人提供相应佐证材料的，投标人未提供相应佐证材料或者投标人的响应承诺与其佐证材料不一致的，评标委员会将以不利于投标人的内容为准进行评审（负偏离）。若投标人自行提供的其他佐证材料与投标人的响应承诺不一致的，评标委员会将以不利于投标人的内容为准进行评审（负偏离）。招标文件不一致的以此为准】</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商务项（F3×A3）满分为10.0000分</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4"/>
        <w:gridCol w:w="720"/>
        <w:gridCol w:w="715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分值</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1.培训计划</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的投标文件中对采购人的管理人员、操作人员及设备维护人员进行培训、学术支持等承诺情况，由评委进行评分：方案内容能够完整、清晰阐述项目实施基础方案内容的同时确保方案实施的基础上增加有利于项目执行内容的得3分；方案能够内容完整、清晰的阐述了基本要求且符合项目实际操作的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分；有提供方案，但阐述内容未完整响应基本要求或方案阐述简短的得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2.售后服务</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的售后服务承诺、故障排除、修复措施等方面，由评委进行评分：方案内容能够完整、清晰阐述项目实施基础方案内容的同时确保方案实施的基础上增加有利于项目执行内容的得2分；方案能够内容完整、清晰的阐述了基本要求且符合项目实际操作的的得1.5分；有提供方案，但阐述内容未完整响应基本要求或方案阐述简短的得1分；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3.业绩</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根据各投标人所提供自2021年1月1日至本次投标截止日期（日期以验收报告为准）由投标人在国内所完成的与本次投标同类业绩情况，由评委进行评分：每提供一份完整合格的业绩项目得1分, 满分3分。【业绩项目中须含中标或成交公告（提供相关网站中标或成交公告的下载网页并注明网址）、中标或成交通知书复印件、采购合同文本复印件，以及能够证明该业绩项目已经采购人验收合格的相关证明文件复印件，未同时提供以上各项证明材料的，该项业绩不给予计分。）。（投标人在投标文件中应如实提供销售业绩项目证明文件的复印件，采购人将保留要求投标人提供销售业绩项目的证明文件原件予以核查的权利。】</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4.质保期</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投标人在响应招标文件要求的质保期年限基础上另外再延长质保期年限的：整个采购包每增加一年得1分，满分2分。【须提供承诺函，否则不得分】</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※除本章第6.3条第（3）款规定情形和落实政府采购政策需进行的价格扣除情形外，不能对投标人的投标报价进行任何调整。</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（3）中标候选人排列规则顺序如下：</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a.按照评标总得分（FA）由高到低顺序排列。</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b.评标总得分（FA）相同的，按照评标价（即价格扣除后的投标报价）由低到高顺序排列。</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c.评标总得分（FA）且评标价（即价格扣除后的投标报价）相同的并列。</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8、其他规定</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8.1评标应全程保密且不得透露给任一投标人或与评标工作无关的人员。</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8.2评标将进行全程实时录音录像，录音录像资料随采购文件一并存档。</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8.3若投标人有任何试图干扰具体评标事务，影响评标委员会独立履行职责的行为，其投标无效且不予退还投标保证金或通过投标保函进行索赔。情节严重的，由财政部门列入不良行为记录。</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8.4其他：无。</w:t>
      </w:r>
    </w:p>
    <w:p>
      <w:pPr>
        <w:pStyle w:val="7"/>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page"/>
      </w:r>
    </w:p>
    <w:p>
      <w:pPr>
        <w:pStyle w:val="7"/>
        <w:keepNext w:val="0"/>
        <w:keepLines w:val="0"/>
        <w:pageBreakBefore w:val="0"/>
        <w:widowControl/>
        <w:kinsoku/>
        <w:wordWrap/>
        <w:overflowPunct/>
        <w:topLinePunct w:val="0"/>
        <w:autoSpaceDE/>
        <w:autoSpaceDN/>
        <w:bidi w:val="0"/>
        <w:adjustRightInd/>
        <w:snapToGrid/>
        <w:spacing w:line="400" w:lineRule="exact"/>
        <w:jc w:val="center"/>
        <w:textAlignment w:val="auto"/>
        <w:outlineLvl w:val="1"/>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第五章 招标内容及要求</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一、项目概况（采购标的）</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本项目为福建省儿童医院</w:t>
      </w:r>
      <w:r>
        <w:rPr>
          <w:rFonts w:hint="eastAsia" w:ascii="宋体" w:hAnsi="宋体" w:eastAsia="宋体" w:cs="宋体"/>
          <w:b w:val="0"/>
          <w:bCs/>
          <w:color w:val="auto"/>
          <w:sz w:val="24"/>
          <w:szCs w:val="24"/>
          <w:highlight w:val="none"/>
        </w:rPr>
        <w:t>彩色多普勒超声采购项目</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二、技术和服务要求（以“★”标示的内容为不允许负偏离的实质性要求）</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采购包1：序号1</w:t>
      </w:r>
      <w:r>
        <w:rPr>
          <w:rFonts w:hint="eastAsia" w:ascii="宋体" w:hAnsi="宋体" w:eastAsia="宋体" w:cs="宋体"/>
          <w:b/>
          <w:color w:val="auto"/>
          <w:sz w:val="24"/>
          <w:szCs w:val="24"/>
          <w:highlight w:val="none"/>
        </w:rPr>
        <w:t>彩色多普勒超声（心脏）</w:t>
      </w:r>
    </w:p>
    <w:tbl>
      <w:tblPr>
        <w:tblStyle w:val="5"/>
        <w:tblW w:w="9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7"/>
        <w:gridCol w:w="456"/>
        <w:gridCol w:w="7396"/>
        <w:gridCol w:w="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参数类型</w:t>
            </w:r>
          </w:p>
        </w:tc>
        <w:tc>
          <w:tcPr>
            <w:tcW w:w="45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7396"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具体内容</w:t>
            </w:r>
          </w:p>
        </w:tc>
        <w:tc>
          <w:tcPr>
            <w:tcW w:w="699"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797" w:type="dxa"/>
            <w:tcBorders>
              <w:top w:val="single" w:color="auto" w:sz="4" w:space="0"/>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必备参数</w:t>
            </w:r>
          </w:p>
        </w:tc>
        <w:tc>
          <w:tcPr>
            <w:tcW w:w="45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39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心脏机1台：</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）主要配置：主机1台，</w:t>
            </w:r>
            <w:r>
              <w:rPr>
                <w:rFonts w:hint="eastAsia" w:ascii="宋体" w:hAnsi="宋体" w:eastAsia="宋体" w:cs="宋体"/>
                <w:color w:val="auto"/>
                <w:sz w:val="21"/>
                <w:szCs w:val="21"/>
                <w:highlight w:val="none"/>
                <w:lang w:val="en-US" w:eastAsia="zh-CN"/>
              </w:rPr>
              <w:t>配置</w:t>
            </w:r>
            <w:r>
              <w:rPr>
                <w:rFonts w:hint="eastAsia" w:ascii="宋体" w:hAnsi="宋体" w:eastAsia="宋体" w:cs="宋体"/>
                <w:color w:val="auto"/>
                <w:sz w:val="21"/>
                <w:szCs w:val="21"/>
                <w:highlight w:val="none"/>
              </w:rPr>
              <w:t>单晶体成人心脏探头频率：1-5MHz(允许±1MHz)</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单晶体心脏实时三维探头频率：1-5MHz(允许±1MHz)</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单晶体儿童心脏探头频率：2-9MHz(允许±1MHz)</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单晶体食道实时三维探头频率：2-8MHz(允许±1MHz)</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血管探头频率：3-12Hz(允许±1MHz)</w:t>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（2）配套设备：超声检查床、超声检查椅、打印机、不间断电源、电脑各1套</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97" w:type="dxa"/>
            <w:vMerge w:val="restart"/>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重点参数</w:t>
            </w:r>
          </w:p>
        </w:tc>
        <w:tc>
          <w:tcPr>
            <w:tcW w:w="45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自动化心脏三维定量功能，通过智能分割和自动边界检测，全自动识别追踪左室、左房、右室、右房、主动脉、肺动脉等结构并以不同色彩标识，无需人工点击图像；提供自动的四腔、两腔、三腔二维切面和短轴视图，并可进行局部或整体的边界调节，高效的工作流程可促进快速检查，准确评估心脏功能。</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实时三维成像容积角度≥105*105度</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97" w:type="dxa"/>
            <w:vMerge w:val="restart"/>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一般参数</w:t>
            </w: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操作面板具备液晶触摸屏≥12",可通过手指滑动触摸屏进行翻页，直接点击触摸屏即可选择需要调节的参数，操作面板可上下左右进行高度调整及旋转</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OLED显示器≥22",无闪烁，可上下左右旋转、倾斜</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显示器可全屏显示扫查图像，包括二维、彩色、频谱和实时三维等，并可显示或隐藏屏幕菜单</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触摸屏可以与主显示器实时同步显示动态图像，并可在触摸屏上进行容积图像的旋转、放大等调整。</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支持彩色实时同屏双幅对比显像</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动态范围≥320dB</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通用成像探头接口≥4个，均为微型无针式接口，4个接口通用，可同时支持实时三维探头并可任意互换。</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分辨率和帧频可视可调，支持凸阵、线阵、相控阵、实时三维探头</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彩色增益可独立调节，支持凸阵、线阵、相控阵、实时三维探头</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侧向增益补偿技术≥8段，可支持相控阵、实时三维探头，可视可调</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739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实时任意多平面模式下支持PW和CW</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支持超宽视野全景成像技术</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实时三维探头可在不移动探头情况下实现0－360度任意平面显像，方便获取所需图像</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实时三维两点获取感兴趣区容积图像，可从任意方向、角度两点切割，快速获取所需容积图像</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连接和未连接心电信号的超声图像均可在机分析</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无需转动探头，可一键快速进行心尖四腔、心尖两腔、心尖三腔等常用心脏切面切换</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全自动识别左心室切面并追踪，快速获得左心室整体应变值、左心室长径值、左心室18节段应变牛眼图和达峰时间牛眼图</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全自动识别追踪左心房切面，快速获取左心房储备功能、管道功能、收缩功能应变值及曲线，并同时提供ED、PreA两种参考时间点左心房应变值</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全自动识别追踪右心室切面，快速获取右心室四腔和游离壁整体应变值，同时得到右心室游离壁三个节段应变曲线</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支持多个心动周期分析，不少于5个心动周期，并自动显示平均结果，帮助更准确获得心脏功能参数</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739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可通过大数据模型匹配，获得心脏模型及同步显示左心房、左心室容积曲线</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739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微视血流成像技术，可捕捉超微细血流及超低速血流信号，并可进行血流速度测量</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739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一键优化图像，可实时优化二维增益、TGC曲线等成像参数</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一键自动优化多普勒频谱，自动调整基线及量程等参数</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频谱自动分析系统：包括实时自动包络、手动包络等；自动计算各血流动力学参数，参数可根据客户需要灵活进行选择</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支持光源心腔镜成像功能，高分辨率三维渲染模式真实显示心脏立体结构，模拟光在组织中的传播，并实时显示，突出显示病变部位及组织毗邻关系；支持平面和深度光源投照，根据需要改变光源投照角度、方向及深度，增加心脏结构立体显示效果</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支持多维心腔镜成像功能，三维纵向分辨突出显示心脏各种结构，深度感知心脏结构空间信息</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支持透视心腔镜成像功能，可显示心脏结构铸型，容积图像透明度可根据需求更改，心脏结构形态、空间关系更清晰，帮助更直观理解心脏形态学，支持深度光源成像，应用于所有心脏容积图像</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支持彩色心腔镜成像功能，彩色血流和透视模式联合使用，带有阴影的光源产生更逼真的彩色多普勒渲染，帮助更简易评估实时三维血流空间状态，支持深度光源成像</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实时双容积视野成像，支持内面观和对面观，可一键同时显示同一心脏容积图像不同观察方向两个容积切面，支持实时和冻结状态下的经胸和经食管实时三维图像显示</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扇扫角度：儿童心脏探头≥120度</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最大测量速度:PW，0°时，血流速度最大≥9m/s; CW，0°时血流速度最大≥27m/s</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取样宽度及位置范围:宽度0.5-20mm</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分级可调</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最低测量速度1mm/s (非噪声信号)</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主机内置硬盘≥1T，可扩展的存储装置：大容量移动硬盘、DVD-RW、DVR等</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97"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w:t>
            </w:r>
          </w:p>
        </w:tc>
        <w:tc>
          <w:tcPr>
            <w:tcW w:w="73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机器使用年限≥10年</w:t>
            </w:r>
            <w:r>
              <w:rPr>
                <w:rFonts w:hint="eastAsia" w:ascii="宋体" w:hAnsi="宋体" w:eastAsia="宋体" w:cs="宋体"/>
                <w:color w:val="auto"/>
                <w:sz w:val="21"/>
                <w:szCs w:val="21"/>
                <w:highlight w:val="none"/>
                <w:lang w:eastAsia="zh-CN"/>
              </w:rPr>
              <w:t>。</w:t>
            </w:r>
          </w:p>
        </w:tc>
        <w:tc>
          <w:tcPr>
            <w:tcW w:w="69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采购包1：序号2</w:t>
      </w:r>
      <w:r>
        <w:rPr>
          <w:rFonts w:hint="eastAsia" w:ascii="宋体" w:hAnsi="宋体" w:eastAsia="宋体" w:cs="宋体"/>
          <w:b/>
          <w:color w:val="auto"/>
          <w:sz w:val="24"/>
          <w:szCs w:val="24"/>
          <w:highlight w:val="none"/>
        </w:rPr>
        <w:t>彩色多普勒超声仪</w:t>
      </w:r>
    </w:p>
    <w:tbl>
      <w:tblPr>
        <w:tblStyle w:val="5"/>
        <w:tblW w:w="9354" w:type="dxa"/>
        <w:jc w:val="center"/>
        <w:shd w:val="clear" w:color="auto" w:fill="auto"/>
        <w:tblLayout w:type="autofit"/>
        <w:tblCellMar>
          <w:top w:w="0" w:type="dxa"/>
          <w:left w:w="0" w:type="dxa"/>
          <w:bottom w:w="0" w:type="dxa"/>
          <w:right w:w="0" w:type="dxa"/>
        </w:tblCellMar>
      </w:tblPr>
      <w:tblGrid>
        <w:gridCol w:w="483"/>
        <w:gridCol w:w="321"/>
        <w:gridCol w:w="7863"/>
        <w:gridCol w:w="687"/>
      </w:tblGrid>
      <w:tr>
        <w:tblPrEx>
          <w:tblCellMar>
            <w:top w:w="0" w:type="dxa"/>
            <w:left w:w="0" w:type="dxa"/>
            <w:bottom w:w="0" w:type="dxa"/>
            <w:right w:w="0" w:type="dxa"/>
          </w:tblCellMar>
        </w:tblPrEx>
        <w:trPr>
          <w:trHeight w:val="454"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top"/>
              <w:rPr>
                <w:rFonts w:hint="eastAsia" w:ascii="宋体" w:hAnsi="宋体" w:eastAsia="宋体" w:cs="宋体"/>
                <w:i w:val="0"/>
                <w:color w:val="auto"/>
                <w:sz w:val="21"/>
                <w:szCs w:val="21"/>
                <w:highlight w:val="none"/>
                <w:u w:val="none"/>
              </w:rPr>
            </w:pPr>
            <w:r>
              <w:rPr>
                <w:rStyle w:val="8"/>
                <w:rFonts w:hint="eastAsia" w:ascii="宋体" w:hAnsi="宋体" w:eastAsia="宋体" w:cs="宋体"/>
                <w:color w:val="auto"/>
                <w:sz w:val="21"/>
                <w:szCs w:val="21"/>
                <w:highlight w:val="none"/>
                <w:lang w:val="en-US" w:eastAsia="zh-CN" w:bidi="ar"/>
              </w:rPr>
              <w:t>参数类型</w:t>
            </w: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top"/>
              <w:rPr>
                <w:rFonts w:hint="eastAsia" w:ascii="宋体" w:hAnsi="宋体" w:eastAsia="宋体" w:cs="宋体"/>
                <w:i w:val="0"/>
                <w:color w:val="auto"/>
                <w:sz w:val="21"/>
                <w:szCs w:val="21"/>
                <w:highlight w:val="none"/>
                <w:u w:val="none"/>
              </w:rPr>
            </w:pPr>
            <w:r>
              <w:rPr>
                <w:rStyle w:val="8"/>
                <w:rFonts w:hint="eastAsia" w:ascii="宋体" w:hAnsi="宋体" w:eastAsia="宋体" w:cs="宋体"/>
                <w:color w:val="auto"/>
                <w:sz w:val="21"/>
                <w:szCs w:val="21"/>
                <w:highlight w:val="none"/>
                <w:lang w:val="en-US" w:eastAsia="zh-CN" w:bidi="ar"/>
              </w:rPr>
              <w:t>序号</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right="-277" w:rightChars="-132"/>
              <w:jc w:val="center"/>
              <w:textAlignment w:val="top"/>
              <w:rPr>
                <w:rFonts w:hint="eastAsia" w:ascii="宋体" w:hAnsi="宋体" w:eastAsia="宋体" w:cs="宋体"/>
                <w:i w:val="0"/>
                <w:color w:val="auto"/>
                <w:sz w:val="21"/>
                <w:szCs w:val="21"/>
                <w:highlight w:val="none"/>
                <w:u w:val="none"/>
              </w:rPr>
            </w:pPr>
            <w:r>
              <w:rPr>
                <w:rStyle w:val="8"/>
                <w:rFonts w:hint="eastAsia" w:ascii="宋体" w:hAnsi="宋体" w:eastAsia="宋体" w:cs="宋体"/>
                <w:color w:val="auto"/>
                <w:sz w:val="21"/>
                <w:szCs w:val="21"/>
                <w:highlight w:val="none"/>
                <w:lang w:val="en-US" w:eastAsia="zh-CN" w:bidi="ar"/>
              </w:rPr>
              <w:t>具体内容</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right="-277" w:rightChars="-132"/>
              <w:jc w:val="center"/>
              <w:textAlignment w:val="top"/>
              <w:rPr>
                <w:rStyle w:val="8"/>
                <w:rFonts w:hint="default" w:ascii="宋体" w:hAnsi="宋体" w:eastAsia="宋体" w:cs="宋体"/>
                <w:color w:val="auto"/>
                <w:sz w:val="21"/>
                <w:szCs w:val="21"/>
                <w:highlight w:val="none"/>
                <w:lang w:val="en-US" w:eastAsia="zh-CN" w:bidi="ar"/>
              </w:rPr>
            </w:pPr>
            <w:r>
              <w:rPr>
                <w:rStyle w:val="8"/>
                <w:rFonts w:hint="eastAsia" w:ascii="宋体" w:hAnsi="宋体" w:eastAsia="宋体" w:cs="宋体"/>
                <w:color w:val="auto"/>
                <w:sz w:val="21"/>
                <w:szCs w:val="21"/>
                <w:highlight w:val="none"/>
                <w:lang w:val="en-US" w:eastAsia="zh-CN" w:bidi="ar"/>
              </w:rPr>
              <w:t>分值</w:t>
            </w:r>
          </w:p>
        </w:tc>
      </w:tr>
      <w:tr>
        <w:tblPrEx>
          <w:tblCellMar>
            <w:top w:w="0" w:type="dxa"/>
            <w:left w:w="0" w:type="dxa"/>
            <w:bottom w:w="0" w:type="dxa"/>
            <w:right w:w="0" w:type="dxa"/>
          </w:tblCellMar>
        </w:tblPrEx>
        <w:trPr>
          <w:trHeight w:val="454" w:hRule="atLeast"/>
          <w:jc w:val="center"/>
        </w:trPr>
        <w:tc>
          <w:tcPr>
            <w:tcW w:w="4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Style w:val="8"/>
                <w:rFonts w:hint="eastAsia" w:ascii="宋体" w:hAnsi="宋体" w:eastAsia="宋体" w:cs="宋体"/>
                <w:color w:val="auto"/>
                <w:sz w:val="21"/>
                <w:szCs w:val="21"/>
                <w:highlight w:val="none"/>
                <w:lang w:val="en-US" w:eastAsia="zh-CN" w:bidi="ar"/>
              </w:rPr>
              <w:t>必备参数</w:t>
            </w:r>
          </w:p>
        </w:tc>
        <w:tc>
          <w:tcPr>
            <w:tcW w:w="321"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操作面板具备液晶触摸屏≥</w:t>
            </w:r>
            <w:r>
              <w:rPr>
                <w:rStyle w:val="11"/>
                <w:rFonts w:hint="eastAsia" w:ascii="宋体" w:hAnsi="宋体" w:eastAsia="宋体" w:cs="宋体"/>
                <w:color w:val="auto"/>
                <w:sz w:val="21"/>
                <w:szCs w:val="21"/>
                <w:highlight w:val="none"/>
                <w:lang w:val="en-US" w:eastAsia="zh-CN" w:bidi="ar"/>
              </w:rPr>
              <w:t>12</w:t>
            </w:r>
            <w:r>
              <w:rPr>
                <w:rStyle w:val="10"/>
                <w:rFonts w:hint="eastAsia" w:ascii="宋体" w:hAnsi="宋体" w:eastAsia="宋体" w:cs="宋体"/>
                <w:color w:val="auto"/>
                <w:sz w:val="21"/>
                <w:szCs w:val="21"/>
                <w:highlight w:val="none"/>
                <w:lang w:val="en-US" w:eastAsia="zh-CN" w:bidi="ar"/>
              </w:rPr>
              <w:t>英寸</w:t>
            </w:r>
            <w:r>
              <w:rPr>
                <w:rStyle w:val="11"/>
                <w:rFonts w:hint="eastAsia" w:ascii="宋体" w:hAnsi="宋体" w:eastAsia="宋体" w:cs="宋体"/>
                <w:color w:val="auto"/>
                <w:sz w:val="21"/>
                <w:szCs w:val="21"/>
                <w:highlight w:val="none"/>
                <w:lang w:val="en-US" w:eastAsia="zh-CN" w:bidi="ar"/>
              </w:rPr>
              <w:t>,</w:t>
            </w:r>
            <w:r>
              <w:rPr>
                <w:rStyle w:val="10"/>
                <w:rFonts w:hint="eastAsia" w:ascii="宋体" w:hAnsi="宋体" w:eastAsia="宋体" w:cs="宋体"/>
                <w:color w:val="auto"/>
                <w:sz w:val="21"/>
                <w:szCs w:val="21"/>
                <w:highlight w:val="none"/>
                <w:lang w:val="en-US" w:eastAsia="zh-CN" w:bidi="ar"/>
              </w:rPr>
              <w:t>可通过手指滑动触摸屏进行翻页，直接点击触摸屏即可选择需要调节的参数，操作面板可上下左右进行高度调整及旋转，最大旋转角度达</w:t>
            </w:r>
            <w:r>
              <w:rPr>
                <w:rStyle w:val="11"/>
                <w:rFonts w:hint="eastAsia" w:ascii="宋体" w:hAnsi="宋体" w:eastAsia="宋体" w:cs="宋体"/>
                <w:color w:val="auto"/>
                <w:sz w:val="21"/>
                <w:szCs w:val="21"/>
                <w:highlight w:val="none"/>
                <w:lang w:val="en-US" w:eastAsia="zh-CN" w:bidi="ar"/>
              </w:rPr>
              <w:t>720</w:t>
            </w:r>
            <w:r>
              <w:rPr>
                <w:rStyle w:val="10"/>
                <w:rFonts w:hint="eastAsia" w:ascii="宋体" w:hAnsi="宋体" w:eastAsia="宋体" w:cs="宋体"/>
                <w:color w:val="auto"/>
                <w:sz w:val="21"/>
                <w:szCs w:val="21"/>
                <w:highlight w:val="none"/>
                <w:lang w:val="en-US" w:eastAsia="zh-CN" w:bidi="ar"/>
              </w:rPr>
              <w:t>度。</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default" w:ascii="宋体" w:hAnsi="宋体" w:eastAsia="宋体" w:cs="宋体"/>
                <w:color w:val="auto"/>
                <w:sz w:val="21"/>
                <w:szCs w:val="21"/>
                <w:highlight w:val="none"/>
                <w:lang w:val="en-US" w:eastAsia="zh-CN" w:bidi="ar"/>
              </w:rPr>
            </w:pPr>
            <w:r>
              <w:rPr>
                <w:rStyle w:val="10"/>
                <w:rFonts w:hint="eastAsia" w:ascii="宋体" w:hAnsi="宋体" w:eastAsia="宋体" w:cs="宋体"/>
                <w:color w:val="auto"/>
                <w:sz w:val="21"/>
                <w:szCs w:val="21"/>
                <w:highlight w:val="none"/>
                <w:lang w:val="en-US" w:eastAsia="zh-CN" w:bidi="ar"/>
              </w:rPr>
              <w:t>/</w:t>
            </w:r>
          </w:p>
        </w:tc>
      </w:tr>
      <w:tr>
        <w:tblPrEx>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取样宽度及位置范围：宽度</w:t>
            </w:r>
            <w:r>
              <w:rPr>
                <w:rStyle w:val="11"/>
                <w:rFonts w:hint="eastAsia" w:ascii="宋体" w:hAnsi="宋体" w:eastAsia="宋体" w:cs="宋体"/>
                <w:color w:val="auto"/>
                <w:sz w:val="21"/>
                <w:szCs w:val="21"/>
                <w:highlight w:val="none"/>
                <w:lang w:val="en-US" w:eastAsia="zh-CN" w:bidi="ar"/>
              </w:rPr>
              <w:t xml:space="preserve"> 0.5mm</w:t>
            </w:r>
            <w:r>
              <w:rPr>
                <w:rStyle w:val="10"/>
                <w:rFonts w:hint="eastAsia" w:ascii="宋体" w:hAnsi="宋体" w:eastAsia="宋体" w:cs="宋体"/>
                <w:color w:val="auto"/>
                <w:sz w:val="21"/>
                <w:szCs w:val="21"/>
                <w:highlight w:val="none"/>
                <w:lang w:val="en-US" w:eastAsia="zh-CN" w:bidi="ar"/>
              </w:rPr>
              <w:t>至</w:t>
            </w:r>
            <w:r>
              <w:rPr>
                <w:rStyle w:val="11"/>
                <w:rFonts w:hint="eastAsia" w:ascii="宋体" w:hAnsi="宋体" w:eastAsia="宋体" w:cs="宋体"/>
                <w:color w:val="auto"/>
                <w:sz w:val="21"/>
                <w:szCs w:val="21"/>
                <w:highlight w:val="none"/>
                <w:lang w:val="en-US" w:eastAsia="zh-CN" w:bidi="ar"/>
              </w:rPr>
              <w:t>20mm</w:t>
            </w:r>
            <w:r>
              <w:rPr>
                <w:rStyle w:val="10"/>
                <w:rFonts w:hint="eastAsia" w:ascii="宋体" w:hAnsi="宋体" w:eastAsia="宋体" w:cs="宋体"/>
                <w:color w:val="auto"/>
                <w:sz w:val="21"/>
                <w:szCs w:val="21"/>
                <w:highlight w:val="none"/>
                <w:lang w:val="en-US" w:eastAsia="zh-CN" w:bidi="ar"/>
              </w:rPr>
              <w:t>多级可调。</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default" w:ascii="宋体" w:hAnsi="宋体" w:eastAsia="宋体" w:cs="宋体"/>
                <w:color w:val="auto"/>
                <w:sz w:val="21"/>
                <w:szCs w:val="21"/>
                <w:highlight w:val="none"/>
                <w:lang w:val="en-US" w:eastAsia="zh-CN" w:bidi="ar"/>
              </w:rPr>
            </w:pPr>
            <w:r>
              <w:rPr>
                <w:rStyle w:val="10"/>
                <w:rFonts w:hint="eastAsia" w:ascii="宋体" w:hAnsi="宋体" w:eastAsia="宋体" w:cs="宋体"/>
                <w:color w:val="auto"/>
                <w:sz w:val="21"/>
                <w:szCs w:val="21"/>
                <w:highlight w:val="none"/>
                <w:lang w:val="en-US" w:eastAsia="zh-CN" w:bidi="ar"/>
              </w:rPr>
              <w:t>/</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1"/>
                <w:rFonts w:hint="eastAsia" w:ascii="宋体" w:hAnsi="宋体" w:eastAsia="宋体" w:cs="宋体"/>
                <w:color w:val="auto"/>
                <w:sz w:val="21"/>
                <w:szCs w:val="21"/>
                <w:highlight w:val="none"/>
                <w:lang w:val="en-US" w:eastAsia="zh-CN" w:bidi="ar"/>
              </w:rPr>
              <w:t xml:space="preserve"> </w:t>
            </w:r>
            <w:r>
              <w:rPr>
                <w:rStyle w:val="10"/>
                <w:rFonts w:hint="eastAsia" w:ascii="宋体" w:hAnsi="宋体" w:eastAsia="宋体" w:cs="宋体"/>
                <w:color w:val="auto"/>
                <w:sz w:val="21"/>
                <w:szCs w:val="21"/>
                <w:highlight w:val="none"/>
                <w:lang w:val="en-US" w:eastAsia="zh-CN" w:bidi="ar"/>
              </w:rPr>
              <w:t>最低测量速度：</w:t>
            </w:r>
            <w:r>
              <w:rPr>
                <w:rStyle w:val="12"/>
                <w:rFonts w:hint="eastAsia" w:ascii="宋体" w:hAnsi="宋体" w:eastAsia="宋体" w:cs="宋体"/>
                <w:color w:val="auto"/>
                <w:sz w:val="21"/>
                <w:szCs w:val="21"/>
                <w:highlight w:val="none"/>
                <w:lang w:val="en-US" w:eastAsia="zh-CN" w:bidi="ar"/>
              </w:rPr>
              <w:t>≤</w:t>
            </w:r>
            <w:r>
              <w:rPr>
                <w:rStyle w:val="11"/>
                <w:rFonts w:hint="eastAsia" w:ascii="宋体" w:hAnsi="宋体" w:eastAsia="宋体" w:cs="宋体"/>
                <w:color w:val="auto"/>
                <w:sz w:val="21"/>
                <w:szCs w:val="21"/>
                <w:highlight w:val="none"/>
                <w:lang w:val="en-US" w:eastAsia="zh-CN" w:bidi="ar"/>
              </w:rPr>
              <w:t>0.25mm/s (</w:t>
            </w:r>
            <w:r>
              <w:rPr>
                <w:rStyle w:val="10"/>
                <w:rFonts w:hint="eastAsia" w:ascii="宋体" w:hAnsi="宋体" w:eastAsia="宋体" w:cs="宋体"/>
                <w:color w:val="auto"/>
                <w:sz w:val="21"/>
                <w:szCs w:val="21"/>
                <w:highlight w:val="none"/>
                <w:lang w:val="en-US" w:eastAsia="zh-CN" w:bidi="ar"/>
              </w:rPr>
              <w:t>非噪音信号</w:t>
            </w:r>
            <w:r>
              <w:rPr>
                <w:rStyle w:val="11"/>
                <w:rFonts w:hint="eastAsia" w:ascii="宋体" w:hAnsi="宋体" w:eastAsia="宋体" w:cs="宋体"/>
                <w:color w:val="auto"/>
                <w:sz w:val="21"/>
                <w:szCs w:val="21"/>
                <w:highlight w:val="none"/>
                <w:lang w:val="en-US" w:eastAsia="zh-CN" w:bidi="ar"/>
              </w:rPr>
              <w:t>)。</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1"/>
                <w:rFonts w:hint="default" w:ascii="宋体" w:hAnsi="宋体" w:eastAsia="宋体" w:cs="宋体"/>
                <w:color w:val="auto"/>
                <w:sz w:val="21"/>
                <w:szCs w:val="21"/>
                <w:highlight w:val="none"/>
                <w:lang w:val="en-US" w:eastAsia="zh-CN" w:bidi="ar"/>
              </w:rPr>
            </w:pPr>
            <w:r>
              <w:rPr>
                <w:rStyle w:val="11"/>
                <w:rFonts w:hint="eastAsia" w:ascii="宋体" w:hAnsi="宋体" w:eastAsia="宋体" w:cs="宋体"/>
                <w:color w:val="auto"/>
                <w:sz w:val="21"/>
                <w:szCs w:val="21"/>
                <w:highlight w:val="none"/>
                <w:lang w:val="en-US" w:eastAsia="zh-CN" w:bidi="ar"/>
              </w:rPr>
              <w:t>/</w:t>
            </w:r>
          </w:p>
        </w:tc>
      </w:tr>
      <w:tr>
        <w:tblPrEx>
          <w:shd w:val="clear" w:color="auto" w:fill="auto"/>
          <w:tblCellMar>
            <w:top w:w="0" w:type="dxa"/>
            <w:left w:w="0" w:type="dxa"/>
            <w:bottom w:w="0" w:type="dxa"/>
            <w:right w:w="0" w:type="dxa"/>
          </w:tblCellMar>
        </w:tblPrEx>
        <w:trPr>
          <w:trHeight w:val="454" w:hRule="atLeast"/>
          <w:jc w:val="center"/>
        </w:trPr>
        <w:tc>
          <w:tcPr>
            <w:tcW w:w="4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bookmarkStart w:id="0" w:name="OLE_LINK1"/>
            <w:r>
              <w:rPr>
                <w:rFonts w:hint="eastAsia" w:ascii="宋体" w:hAnsi="宋体" w:eastAsia="宋体" w:cs="宋体"/>
                <w:color w:val="auto"/>
                <w:sz w:val="21"/>
                <w:szCs w:val="21"/>
                <w:highlight w:val="none"/>
              </w:rPr>
              <w:t>▲</w:t>
            </w:r>
            <w:bookmarkEnd w:id="0"/>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Style w:val="8"/>
                <w:rFonts w:hint="eastAsia" w:ascii="宋体" w:hAnsi="宋体" w:eastAsia="宋体" w:cs="宋体"/>
                <w:color w:val="auto"/>
                <w:sz w:val="21"/>
                <w:szCs w:val="21"/>
                <w:highlight w:val="none"/>
                <w:lang w:val="en-US" w:eastAsia="zh-CN" w:bidi="ar"/>
              </w:rPr>
              <w:t>重点参数</w:t>
            </w: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增益调节：TGC增益补偿≥8 段，B/M 可独立调节,且具有实体键及触摸屏调节两种模式，方便操作；触摸屏具有LGC侧向增益补偿调节。</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lang w:val="en-US" w:eastAsia="zh-CN"/>
              </w:rPr>
              <w:t>2.4</w:t>
            </w:r>
          </w:p>
        </w:tc>
      </w:tr>
      <w:tr>
        <w:tblPrEx>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液晶触摸屏可与显示器同步显示超声图像。</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lang w:val="en-US" w:eastAsia="zh-CN"/>
              </w:rPr>
              <w:t>2.4</w:t>
            </w:r>
          </w:p>
        </w:tc>
      </w:tr>
      <w:tr>
        <w:tblPrEx>
          <w:shd w:val="clear" w:color="auto" w:fill="auto"/>
          <w:tblCellMar>
            <w:top w:w="0" w:type="dxa"/>
            <w:left w:w="0" w:type="dxa"/>
            <w:bottom w:w="0" w:type="dxa"/>
            <w:right w:w="0" w:type="dxa"/>
          </w:tblCellMar>
        </w:tblPrEx>
        <w:trPr>
          <w:trHeight w:val="454" w:hRule="atLeast"/>
          <w:jc w:val="center"/>
        </w:trPr>
        <w:tc>
          <w:tcPr>
            <w:tcW w:w="4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Style w:val="8"/>
                <w:rFonts w:hint="eastAsia" w:ascii="宋体" w:hAnsi="宋体" w:eastAsia="宋体" w:cs="宋体"/>
                <w:color w:val="auto"/>
                <w:sz w:val="21"/>
                <w:szCs w:val="21"/>
                <w:highlight w:val="none"/>
                <w:lang w:val="en-US" w:eastAsia="zh-CN" w:bidi="ar"/>
              </w:rPr>
              <w:t>一般参数</w:t>
            </w: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高分辨率彩色液晶显示器≥</w:t>
            </w:r>
            <w:r>
              <w:rPr>
                <w:rStyle w:val="11"/>
                <w:rFonts w:hint="eastAsia" w:ascii="宋体" w:hAnsi="宋体" w:eastAsia="宋体" w:cs="宋体"/>
                <w:color w:val="auto"/>
                <w:sz w:val="21"/>
                <w:szCs w:val="21"/>
                <w:highlight w:val="none"/>
                <w:lang w:val="en-US" w:eastAsia="zh-CN" w:bidi="ar"/>
              </w:rPr>
              <w:t>21</w:t>
            </w:r>
            <w:r>
              <w:rPr>
                <w:rStyle w:val="10"/>
                <w:rFonts w:hint="eastAsia" w:ascii="宋体" w:hAnsi="宋体" w:eastAsia="宋体" w:cs="宋体"/>
                <w:color w:val="auto"/>
                <w:sz w:val="21"/>
                <w:szCs w:val="21"/>
                <w:highlight w:val="none"/>
                <w:lang w:val="en-US" w:eastAsia="zh-CN" w:bidi="ar"/>
              </w:rPr>
              <w:t>英寸</w:t>
            </w:r>
            <w:r>
              <w:rPr>
                <w:rStyle w:val="11"/>
                <w:rFonts w:hint="eastAsia" w:ascii="宋体" w:hAnsi="宋体" w:eastAsia="宋体" w:cs="宋体"/>
                <w:color w:val="auto"/>
                <w:sz w:val="21"/>
                <w:szCs w:val="21"/>
                <w:highlight w:val="none"/>
                <w:lang w:val="en-US" w:eastAsia="zh-CN" w:bidi="ar"/>
              </w:rPr>
              <w:t xml:space="preserve">, </w:t>
            </w:r>
            <w:r>
              <w:rPr>
                <w:rStyle w:val="10"/>
                <w:rFonts w:hint="eastAsia" w:ascii="宋体" w:hAnsi="宋体" w:eastAsia="宋体" w:cs="宋体"/>
                <w:color w:val="auto"/>
                <w:sz w:val="21"/>
                <w:szCs w:val="21"/>
                <w:highlight w:val="none"/>
                <w:lang w:val="en-US" w:eastAsia="zh-CN" w:bidi="ar"/>
              </w:rPr>
              <w:t>分辨率</w:t>
            </w:r>
            <w:r>
              <w:rPr>
                <w:rStyle w:val="11"/>
                <w:rFonts w:hint="eastAsia" w:ascii="宋体" w:hAnsi="宋体" w:eastAsia="宋体" w:cs="宋体"/>
                <w:color w:val="auto"/>
                <w:sz w:val="21"/>
                <w:szCs w:val="21"/>
                <w:highlight w:val="none"/>
                <w:lang w:val="en-US" w:eastAsia="zh-CN" w:bidi="ar"/>
              </w:rPr>
              <w:t>1920×1080</w:t>
            </w:r>
            <w:r>
              <w:rPr>
                <w:rStyle w:val="10"/>
                <w:rFonts w:hint="eastAsia" w:ascii="宋体" w:hAnsi="宋体" w:eastAsia="宋体" w:cs="宋体"/>
                <w:color w:val="auto"/>
                <w:sz w:val="21"/>
                <w:szCs w:val="21"/>
                <w:highlight w:val="none"/>
                <w:lang w:val="en-US" w:eastAsia="zh-CN" w:bidi="ar"/>
              </w:rPr>
              <w:t>，可前后折叠。</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解剖</w:t>
            </w:r>
            <w:r>
              <w:rPr>
                <w:rStyle w:val="11"/>
                <w:rFonts w:hint="eastAsia" w:ascii="宋体" w:hAnsi="宋体" w:eastAsia="宋体" w:cs="宋体"/>
                <w:color w:val="auto"/>
                <w:sz w:val="21"/>
                <w:szCs w:val="21"/>
                <w:highlight w:val="none"/>
                <w:lang w:val="en-US" w:eastAsia="zh-CN" w:bidi="ar"/>
              </w:rPr>
              <w:t>M</w:t>
            </w:r>
            <w:r>
              <w:rPr>
                <w:rStyle w:val="10"/>
                <w:rFonts w:hint="eastAsia" w:ascii="宋体" w:hAnsi="宋体" w:eastAsia="宋体" w:cs="宋体"/>
                <w:color w:val="auto"/>
                <w:sz w:val="21"/>
                <w:szCs w:val="21"/>
                <w:highlight w:val="none"/>
                <w:lang w:val="en-US" w:eastAsia="zh-CN" w:bidi="ar"/>
              </w:rPr>
              <w:t>型技术</w:t>
            </w:r>
            <w:r>
              <w:rPr>
                <w:rStyle w:val="11"/>
                <w:rFonts w:hint="eastAsia" w:ascii="宋体" w:hAnsi="宋体" w:eastAsia="宋体" w:cs="宋体"/>
                <w:color w:val="auto"/>
                <w:sz w:val="21"/>
                <w:szCs w:val="21"/>
                <w:highlight w:val="none"/>
                <w:lang w:val="en-US" w:eastAsia="zh-CN" w:bidi="ar"/>
              </w:rPr>
              <w:t>,</w:t>
            </w:r>
            <w:r>
              <w:rPr>
                <w:rStyle w:val="10"/>
                <w:rFonts w:hint="eastAsia" w:ascii="宋体" w:hAnsi="宋体" w:eastAsia="宋体" w:cs="宋体"/>
                <w:color w:val="auto"/>
                <w:sz w:val="21"/>
                <w:szCs w:val="21"/>
                <w:highlight w:val="none"/>
                <w:lang w:val="en-US" w:eastAsia="zh-CN" w:bidi="ar"/>
              </w:rPr>
              <w:t>可</w:t>
            </w:r>
            <w:r>
              <w:rPr>
                <w:rStyle w:val="11"/>
                <w:rFonts w:hint="eastAsia" w:ascii="宋体" w:hAnsi="宋体" w:eastAsia="宋体" w:cs="宋体"/>
                <w:color w:val="auto"/>
                <w:sz w:val="21"/>
                <w:szCs w:val="21"/>
                <w:highlight w:val="none"/>
                <w:lang w:val="en-US" w:eastAsia="zh-CN" w:bidi="ar"/>
              </w:rPr>
              <w:t>360</w:t>
            </w:r>
            <w:r>
              <w:rPr>
                <w:rStyle w:val="10"/>
                <w:rFonts w:hint="eastAsia" w:ascii="宋体" w:hAnsi="宋体" w:eastAsia="宋体" w:cs="宋体"/>
                <w:color w:val="auto"/>
                <w:sz w:val="21"/>
                <w:szCs w:val="21"/>
                <w:highlight w:val="none"/>
                <w:lang w:val="en-US" w:eastAsia="zh-CN" w:bidi="ar"/>
              </w:rPr>
              <w:t>度任意旋转</w:t>
            </w:r>
            <w:r>
              <w:rPr>
                <w:rStyle w:val="11"/>
                <w:rFonts w:hint="eastAsia" w:ascii="宋体" w:hAnsi="宋体" w:eastAsia="宋体" w:cs="宋体"/>
                <w:color w:val="auto"/>
                <w:sz w:val="21"/>
                <w:szCs w:val="21"/>
                <w:highlight w:val="none"/>
                <w:lang w:val="en-US" w:eastAsia="zh-CN" w:bidi="ar"/>
              </w:rPr>
              <w:t>M</w:t>
            </w:r>
            <w:r>
              <w:rPr>
                <w:rStyle w:val="10"/>
                <w:rFonts w:hint="eastAsia" w:ascii="宋体" w:hAnsi="宋体" w:eastAsia="宋体" w:cs="宋体"/>
                <w:color w:val="auto"/>
                <w:sz w:val="21"/>
                <w:szCs w:val="21"/>
                <w:highlight w:val="none"/>
                <w:lang w:val="en-US" w:eastAsia="zh-CN" w:bidi="ar"/>
              </w:rPr>
              <w:t>型取样线角度方便准确的进行测量。</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动态范围≥</w:t>
            </w:r>
            <w:r>
              <w:rPr>
                <w:rStyle w:val="11"/>
                <w:rFonts w:hint="eastAsia" w:ascii="宋体" w:hAnsi="宋体" w:eastAsia="宋体" w:cs="宋体"/>
                <w:color w:val="auto"/>
                <w:sz w:val="21"/>
                <w:szCs w:val="21"/>
                <w:highlight w:val="none"/>
                <w:lang w:val="en-US" w:eastAsia="zh-CN" w:bidi="ar"/>
              </w:rPr>
              <w:t>280dB。</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数字化通道≥</w:t>
            </w:r>
            <w:r>
              <w:rPr>
                <w:rStyle w:val="11"/>
                <w:rFonts w:hint="eastAsia" w:ascii="宋体" w:hAnsi="宋体" w:eastAsia="宋体" w:cs="宋体"/>
                <w:color w:val="auto"/>
                <w:sz w:val="21"/>
                <w:szCs w:val="21"/>
                <w:highlight w:val="none"/>
                <w:lang w:val="en-US" w:eastAsia="zh-CN" w:bidi="ar"/>
              </w:rPr>
              <w:t>4,500,000。</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智能化一键图像优化技术；可自适应调整图像的增益等参数获取最佳图像。</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空间复合成像技术，同时作用于发射和接收</w:t>
            </w:r>
            <w:r>
              <w:rPr>
                <w:rStyle w:val="11"/>
                <w:rFonts w:hint="eastAsia" w:ascii="宋体" w:hAnsi="宋体" w:eastAsia="宋体" w:cs="宋体"/>
                <w:color w:val="auto"/>
                <w:sz w:val="21"/>
                <w:szCs w:val="21"/>
                <w:highlight w:val="none"/>
                <w:lang w:val="en-US" w:eastAsia="zh-CN" w:bidi="ar"/>
              </w:rPr>
              <w:t xml:space="preserve">, </w:t>
            </w:r>
            <w:r>
              <w:rPr>
                <w:rStyle w:val="10"/>
                <w:rFonts w:hint="eastAsia" w:ascii="宋体" w:hAnsi="宋体" w:eastAsia="宋体" w:cs="宋体"/>
                <w:color w:val="auto"/>
                <w:sz w:val="21"/>
                <w:szCs w:val="21"/>
                <w:highlight w:val="none"/>
                <w:lang w:val="en-US" w:eastAsia="zh-CN" w:bidi="ar"/>
              </w:rPr>
              <w:t>可达≥</w:t>
            </w:r>
            <w:r>
              <w:rPr>
                <w:rStyle w:val="11"/>
                <w:rFonts w:hint="eastAsia" w:ascii="宋体" w:hAnsi="宋体" w:eastAsia="宋体" w:cs="宋体"/>
                <w:color w:val="auto"/>
                <w:sz w:val="21"/>
                <w:szCs w:val="21"/>
                <w:highlight w:val="none"/>
                <w:lang w:val="en-US" w:eastAsia="zh-CN" w:bidi="ar"/>
              </w:rPr>
              <w:t>9</w:t>
            </w:r>
            <w:r>
              <w:rPr>
                <w:rStyle w:val="10"/>
                <w:rFonts w:hint="eastAsia" w:ascii="宋体" w:hAnsi="宋体" w:eastAsia="宋体" w:cs="宋体"/>
                <w:color w:val="auto"/>
                <w:sz w:val="21"/>
                <w:szCs w:val="21"/>
                <w:highlight w:val="none"/>
                <w:lang w:val="en-US" w:eastAsia="zh-CN" w:bidi="ar"/>
              </w:rPr>
              <w:t>线偏转（作曲别针试验</w:t>
            </w:r>
            <w:r>
              <w:rPr>
                <w:rStyle w:val="11"/>
                <w:rFonts w:hint="eastAsia" w:ascii="宋体" w:hAnsi="宋体" w:eastAsia="宋体" w:cs="宋体"/>
                <w:color w:val="auto"/>
                <w:sz w:val="21"/>
                <w:szCs w:val="21"/>
                <w:highlight w:val="none"/>
                <w:lang w:val="en-US" w:eastAsia="zh-CN" w:bidi="ar"/>
              </w:rPr>
              <w:t>)</w:t>
            </w:r>
            <w:r>
              <w:rPr>
                <w:rStyle w:val="10"/>
                <w:rFonts w:hint="eastAsia" w:ascii="宋体" w:hAnsi="宋体" w:eastAsia="宋体" w:cs="宋体"/>
                <w:color w:val="auto"/>
                <w:sz w:val="21"/>
                <w:szCs w:val="21"/>
                <w:highlight w:val="none"/>
                <w:lang w:val="en-US" w:eastAsia="zh-CN" w:bidi="ar"/>
              </w:rPr>
              <w:t>，支持所有凸阵、微凸阵和线阵成像探头。</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自适应核磁像素优化技术，改善边界显示，提高分辨率，减少伪像，支持所有成像探头，可分级调节≥</w:t>
            </w:r>
            <w:r>
              <w:rPr>
                <w:rStyle w:val="11"/>
                <w:rFonts w:hint="eastAsia" w:ascii="宋体" w:hAnsi="宋体" w:eastAsia="宋体" w:cs="宋体"/>
                <w:color w:val="auto"/>
                <w:sz w:val="21"/>
                <w:szCs w:val="21"/>
                <w:highlight w:val="none"/>
                <w:lang w:val="en-US" w:eastAsia="zh-CN" w:bidi="ar"/>
              </w:rPr>
              <w:t>5</w:t>
            </w:r>
            <w:r>
              <w:rPr>
                <w:rStyle w:val="10"/>
                <w:rFonts w:hint="eastAsia" w:ascii="宋体" w:hAnsi="宋体" w:eastAsia="宋体" w:cs="宋体"/>
                <w:color w:val="auto"/>
                <w:sz w:val="21"/>
                <w:szCs w:val="21"/>
                <w:highlight w:val="none"/>
                <w:lang w:val="en-US" w:eastAsia="zh-CN" w:bidi="ar"/>
              </w:rPr>
              <w:t>级。</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具备智能多普勒血管检查技术：单键优化二维、多普勒图像质量。</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超声声速自动校正技术：</w:t>
            </w:r>
            <w:r>
              <w:rPr>
                <w:rStyle w:val="11"/>
                <w:rFonts w:hint="eastAsia" w:ascii="宋体" w:hAnsi="宋体" w:eastAsia="宋体" w:cs="宋体"/>
                <w:color w:val="auto"/>
                <w:sz w:val="21"/>
                <w:szCs w:val="21"/>
                <w:highlight w:val="none"/>
                <w:lang w:val="en-US" w:eastAsia="zh-CN" w:bidi="ar"/>
              </w:rPr>
              <w:t xml:space="preserve"> 1)</w:t>
            </w:r>
            <w:r>
              <w:rPr>
                <w:rStyle w:val="10"/>
                <w:rFonts w:hint="eastAsia" w:ascii="宋体" w:hAnsi="宋体" w:eastAsia="宋体" w:cs="宋体"/>
                <w:color w:val="auto"/>
                <w:sz w:val="21"/>
                <w:szCs w:val="21"/>
                <w:highlight w:val="none"/>
                <w:lang w:val="en-US" w:eastAsia="zh-CN" w:bidi="ar"/>
              </w:rPr>
              <w:t>针对肥胖及困难病人；</w:t>
            </w:r>
            <w:r>
              <w:rPr>
                <w:rStyle w:val="11"/>
                <w:rFonts w:hint="eastAsia" w:ascii="宋体" w:hAnsi="宋体" w:eastAsia="宋体" w:cs="宋体"/>
                <w:color w:val="auto"/>
                <w:sz w:val="21"/>
                <w:szCs w:val="21"/>
                <w:highlight w:val="none"/>
                <w:lang w:val="en-US" w:eastAsia="zh-CN" w:bidi="ar"/>
              </w:rPr>
              <w:t>2)</w:t>
            </w:r>
            <w:r>
              <w:rPr>
                <w:rStyle w:val="10"/>
                <w:rFonts w:hint="eastAsia" w:ascii="宋体" w:hAnsi="宋体" w:eastAsia="宋体" w:cs="宋体"/>
                <w:color w:val="auto"/>
                <w:sz w:val="21"/>
                <w:szCs w:val="21"/>
                <w:highlight w:val="none"/>
                <w:lang w:val="en-US" w:eastAsia="zh-CN" w:bidi="ar"/>
              </w:rPr>
              <w:t>可用于腹部，乳腺和肌骨检查</w:t>
            </w:r>
            <w:r>
              <w:rPr>
                <w:rStyle w:val="11"/>
                <w:rFonts w:hint="eastAsia" w:ascii="宋体" w:hAnsi="宋体" w:eastAsia="宋体" w:cs="宋体"/>
                <w:color w:val="auto"/>
                <w:sz w:val="21"/>
                <w:szCs w:val="21"/>
                <w:highlight w:val="none"/>
                <w:lang w:val="en-US" w:eastAsia="zh-CN" w:bidi="ar"/>
              </w:rPr>
              <w:t>；3)</w:t>
            </w:r>
            <w:r>
              <w:rPr>
                <w:rStyle w:val="10"/>
                <w:rFonts w:hint="eastAsia" w:ascii="宋体" w:hAnsi="宋体" w:eastAsia="宋体" w:cs="宋体"/>
                <w:color w:val="auto"/>
                <w:sz w:val="21"/>
                <w:szCs w:val="21"/>
                <w:highlight w:val="none"/>
                <w:lang w:val="en-US" w:eastAsia="zh-CN" w:bidi="ar"/>
              </w:rPr>
              <w:t>专门的预置条件。</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10</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扩展成像技术：凸阵、微凸阵、线阵探头均具有此功能，且空间复合成像技术及斑点噪声抑制技术支持其扩展区域。</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11</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一般测量：距离、面积、周长等。</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12</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产科测量：包括全面的产科径线测量、</w:t>
            </w:r>
            <w:r>
              <w:rPr>
                <w:rStyle w:val="11"/>
                <w:rFonts w:hint="eastAsia" w:ascii="宋体" w:hAnsi="宋体" w:eastAsia="宋体" w:cs="宋体"/>
                <w:color w:val="auto"/>
                <w:sz w:val="21"/>
                <w:szCs w:val="21"/>
                <w:highlight w:val="none"/>
                <w:lang w:val="en-US" w:eastAsia="zh-CN" w:bidi="ar"/>
              </w:rPr>
              <w:t>NT</w:t>
            </w:r>
            <w:r>
              <w:rPr>
                <w:rStyle w:val="10"/>
                <w:rFonts w:hint="eastAsia" w:ascii="宋体" w:hAnsi="宋体" w:eastAsia="宋体" w:cs="宋体"/>
                <w:color w:val="auto"/>
                <w:sz w:val="21"/>
                <w:szCs w:val="21"/>
                <w:highlight w:val="none"/>
                <w:lang w:val="en-US" w:eastAsia="zh-CN" w:bidi="ar"/>
              </w:rPr>
              <w:t>测量、单</w:t>
            </w:r>
            <w:r>
              <w:rPr>
                <w:rStyle w:val="11"/>
                <w:rFonts w:hint="eastAsia" w:ascii="宋体" w:hAnsi="宋体" w:eastAsia="宋体" w:cs="宋体"/>
                <w:color w:val="auto"/>
                <w:sz w:val="21"/>
                <w:szCs w:val="21"/>
                <w:highlight w:val="none"/>
                <w:lang w:val="en-US" w:eastAsia="zh-CN" w:bidi="ar"/>
              </w:rPr>
              <w:t>/</w:t>
            </w:r>
            <w:r>
              <w:rPr>
                <w:rStyle w:val="10"/>
                <w:rFonts w:hint="eastAsia" w:ascii="宋体" w:hAnsi="宋体" w:eastAsia="宋体" w:cs="宋体"/>
                <w:color w:val="auto"/>
                <w:sz w:val="21"/>
                <w:szCs w:val="21"/>
                <w:highlight w:val="none"/>
                <w:lang w:val="en-US" w:eastAsia="zh-CN" w:bidi="ar"/>
              </w:rPr>
              <w:t>双胎儿孕龄及生长曲线、羊水指数、新生儿髋关节角度等。</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13</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外周血管测量和计算功能。</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14</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多普勒血流测量与分析</w:t>
            </w:r>
            <w:r>
              <w:rPr>
                <w:rStyle w:val="11"/>
                <w:rFonts w:hint="eastAsia" w:ascii="宋体" w:hAnsi="宋体" w:eastAsia="宋体" w:cs="宋体"/>
                <w:color w:val="auto"/>
                <w:sz w:val="21"/>
                <w:szCs w:val="21"/>
                <w:highlight w:val="none"/>
                <w:lang w:val="en-US" w:eastAsia="zh-CN" w:bidi="ar"/>
              </w:rPr>
              <w:t xml:space="preserve"> (</w:t>
            </w:r>
            <w:r>
              <w:rPr>
                <w:rStyle w:val="10"/>
                <w:rFonts w:hint="eastAsia" w:ascii="宋体" w:hAnsi="宋体" w:eastAsia="宋体" w:cs="宋体"/>
                <w:color w:val="auto"/>
                <w:sz w:val="21"/>
                <w:szCs w:val="21"/>
                <w:highlight w:val="none"/>
                <w:lang w:val="en-US" w:eastAsia="zh-CN" w:bidi="ar"/>
              </w:rPr>
              <w:t>含自动多普勒频谱包络计算</w:t>
            </w:r>
            <w:r>
              <w:rPr>
                <w:rStyle w:val="11"/>
                <w:rFonts w:hint="eastAsia" w:ascii="宋体" w:hAnsi="宋体" w:eastAsia="宋体" w:cs="宋体"/>
                <w:color w:val="auto"/>
                <w:sz w:val="21"/>
                <w:szCs w:val="21"/>
                <w:highlight w:val="none"/>
                <w:lang w:val="en-US" w:eastAsia="zh-CN" w:bidi="ar"/>
              </w:rPr>
              <w:t xml:space="preserve">)。 </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15</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数字化捕捉、回放、存储静、动态图像，实时图像传输，实时</w:t>
            </w:r>
            <w:r>
              <w:rPr>
                <w:rStyle w:val="11"/>
                <w:rFonts w:hint="eastAsia" w:ascii="宋体" w:hAnsi="宋体" w:eastAsia="宋体" w:cs="宋体"/>
                <w:color w:val="auto"/>
                <w:sz w:val="21"/>
                <w:szCs w:val="21"/>
                <w:highlight w:val="none"/>
                <w:lang w:val="en-US" w:eastAsia="zh-CN" w:bidi="ar"/>
              </w:rPr>
              <w:t xml:space="preserve"> JPEG </w:t>
            </w:r>
            <w:r>
              <w:rPr>
                <w:rStyle w:val="10"/>
                <w:rFonts w:hint="eastAsia" w:ascii="宋体" w:hAnsi="宋体" w:eastAsia="宋体" w:cs="宋体"/>
                <w:color w:val="auto"/>
                <w:sz w:val="21"/>
                <w:szCs w:val="21"/>
                <w:highlight w:val="none"/>
                <w:lang w:val="en-US" w:eastAsia="zh-CN" w:bidi="ar"/>
              </w:rPr>
              <w:t>解压缩，可进行参数编程调节。</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16</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病案管理单元包括病人资料、报告、图像等的存储、修改、检索和打印等。</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17</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探头接口选择：≥</w:t>
            </w:r>
            <w:r>
              <w:rPr>
                <w:rStyle w:val="11"/>
                <w:rFonts w:hint="eastAsia" w:ascii="宋体" w:hAnsi="宋体" w:eastAsia="宋体" w:cs="宋体"/>
                <w:color w:val="auto"/>
                <w:sz w:val="21"/>
                <w:szCs w:val="21"/>
                <w:highlight w:val="none"/>
                <w:lang w:val="en-US" w:eastAsia="zh-CN" w:bidi="ar"/>
              </w:rPr>
              <w:t xml:space="preserve"> 4</w:t>
            </w:r>
            <w:r>
              <w:rPr>
                <w:rStyle w:val="10"/>
                <w:rFonts w:hint="eastAsia" w:ascii="宋体" w:hAnsi="宋体" w:eastAsia="宋体" w:cs="宋体"/>
                <w:color w:val="auto"/>
                <w:sz w:val="21"/>
                <w:szCs w:val="21"/>
                <w:highlight w:val="none"/>
                <w:lang w:val="en-US" w:eastAsia="zh-CN" w:bidi="ar"/>
              </w:rPr>
              <w:t>个，微型无针式</w:t>
            </w:r>
            <w:r>
              <w:rPr>
                <w:rStyle w:val="11"/>
                <w:rFonts w:hint="eastAsia" w:ascii="宋体" w:hAnsi="宋体" w:eastAsia="宋体" w:cs="宋体"/>
                <w:color w:val="auto"/>
                <w:sz w:val="21"/>
                <w:szCs w:val="21"/>
                <w:highlight w:val="none"/>
                <w:lang w:val="en-US" w:eastAsia="zh-CN" w:bidi="ar"/>
              </w:rPr>
              <w:t>,</w:t>
            </w:r>
            <w:r>
              <w:rPr>
                <w:rStyle w:val="10"/>
                <w:rFonts w:hint="eastAsia" w:ascii="宋体" w:hAnsi="宋体" w:eastAsia="宋体" w:cs="宋体"/>
                <w:color w:val="auto"/>
                <w:sz w:val="21"/>
                <w:szCs w:val="21"/>
                <w:highlight w:val="none"/>
                <w:lang w:val="en-US" w:eastAsia="zh-CN" w:bidi="ar"/>
              </w:rPr>
              <w:t>并激活可互换通用。</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18</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预设条件</w:t>
            </w:r>
            <w:r>
              <w:rPr>
                <w:rStyle w:val="11"/>
                <w:rFonts w:hint="eastAsia" w:ascii="宋体" w:hAnsi="宋体" w:eastAsia="宋体" w:cs="宋体"/>
                <w:color w:val="auto"/>
                <w:sz w:val="21"/>
                <w:szCs w:val="21"/>
                <w:highlight w:val="none"/>
                <w:lang w:val="en-US" w:eastAsia="zh-CN" w:bidi="ar"/>
              </w:rPr>
              <w:t xml:space="preserve">: </w:t>
            </w:r>
            <w:r>
              <w:rPr>
                <w:rStyle w:val="10"/>
                <w:rFonts w:hint="eastAsia" w:ascii="宋体" w:hAnsi="宋体" w:eastAsia="宋体" w:cs="宋体"/>
                <w:color w:val="auto"/>
                <w:sz w:val="21"/>
                <w:szCs w:val="21"/>
                <w:highlight w:val="none"/>
                <w:lang w:val="en-US" w:eastAsia="zh-CN" w:bidi="ar"/>
              </w:rPr>
              <w:t>针对不同的检查脏器</w:t>
            </w:r>
            <w:r>
              <w:rPr>
                <w:rStyle w:val="11"/>
                <w:rFonts w:hint="eastAsia" w:ascii="宋体" w:hAnsi="宋体" w:eastAsia="宋体" w:cs="宋体"/>
                <w:color w:val="auto"/>
                <w:sz w:val="21"/>
                <w:szCs w:val="21"/>
                <w:highlight w:val="none"/>
                <w:lang w:val="en-US" w:eastAsia="zh-CN" w:bidi="ar"/>
              </w:rPr>
              <w:t>,</w:t>
            </w:r>
            <w:r>
              <w:rPr>
                <w:rStyle w:val="10"/>
                <w:rFonts w:hint="eastAsia" w:ascii="宋体" w:hAnsi="宋体" w:eastAsia="宋体" w:cs="宋体"/>
                <w:color w:val="auto"/>
                <w:sz w:val="21"/>
                <w:szCs w:val="21"/>
                <w:highlight w:val="none"/>
                <w:lang w:val="en-US" w:eastAsia="zh-CN" w:bidi="ar"/>
              </w:rPr>
              <w:t>预置最佳化图像的检查条件</w:t>
            </w:r>
            <w:r>
              <w:rPr>
                <w:rStyle w:val="11"/>
                <w:rFonts w:hint="eastAsia" w:ascii="宋体" w:hAnsi="宋体" w:eastAsia="宋体" w:cs="宋体"/>
                <w:color w:val="auto"/>
                <w:sz w:val="21"/>
                <w:szCs w:val="21"/>
                <w:highlight w:val="none"/>
                <w:lang w:val="en-US" w:eastAsia="zh-CN" w:bidi="ar"/>
              </w:rPr>
              <w:t>,</w:t>
            </w:r>
            <w:r>
              <w:rPr>
                <w:rStyle w:val="10"/>
                <w:rFonts w:hint="eastAsia" w:ascii="宋体" w:hAnsi="宋体" w:eastAsia="宋体" w:cs="宋体"/>
                <w:color w:val="auto"/>
                <w:sz w:val="21"/>
                <w:szCs w:val="21"/>
                <w:highlight w:val="none"/>
                <w:lang w:val="en-US" w:eastAsia="zh-CN" w:bidi="ar"/>
              </w:rPr>
              <w:t>减少操作时的调节</w:t>
            </w:r>
            <w:r>
              <w:rPr>
                <w:rStyle w:val="11"/>
                <w:rFonts w:hint="eastAsia" w:ascii="宋体" w:hAnsi="宋体" w:eastAsia="宋体" w:cs="宋体"/>
                <w:color w:val="auto"/>
                <w:sz w:val="21"/>
                <w:szCs w:val="21"/>
                <w:highlight w:val="none"/>
                <w:lang w:val="en-US" w:eastAsia="zh-CN" w:bidi="ar"/>
              </w:rPr>
              <w:t>,</w:t>
            </w:r>
            <w:r>
              <w:rPr>
                <w:rStyle w:val="10"/>
                <w:rFonts w:hint="eastAsia" w:ascii="宋体" w:hAnsi="宋体" w:eastAsia="宋体" w:cs="宋体"/>
                <w:color w:val="auto"/>
                <w:sz w:val="21"/>
                <w:szCs w:val="21"/>
                <w:highlight w:val="none"/>
                <w:lang w:val="en-US" w:eastAsia="zh-CN" w:bidi="ar"/>
              </w:rPr>
              <w:t>及常用所需的外部调节及组合调节。</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19</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二维、彩色、多普勒均可独立变频。</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20</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成像速度：相控阵探头，</w:t>
            </w:r>
            <w:r>
              <w:rPr>
                <w:rStyle w:val="11"/>
                <w:rFonts w:hint="eastAsia" w:ascii="宋体" w:hAnsi="宋体" w:eastAsia="宋体" w:cs="宋体"/>
                <w:color w:val="auto"/>
                <w:sz w:val="21"/>
                <w:szCs w:val="21"/>
                <w:highlight w:val="none"/>
                <w:lang w:val="en-US" w:eastAsia="zh-CN" w:bidi="ar"/>
              </w:rPr>
              <w:t>85°</w:t>
            </w:r>
            <w:r>
              <w:rPr>
                <w:rStyle w:val="10"/>
                <w:rFonts w:hint="eastAsia" w:ascii="宋体" w:hAnsi="宋体" w:eastAsia="宋体" w:cs="宋体"/>
                <w:color w:val="auto"/>
                <w:sz w:val="21"/>
                <w:szCs w:val="21"/>
                <w:highlight w:val="none"/>
                <w:lang w:val="en-US" w:eastAsia="zh-CN" w:bidi="ar"/>
              </w:rPr>
              <w:t>角</w:t>
            </w:r>
            <w:r>
              <w:rPr>
                <w:rStyle w:val="11"/>
                <w:rFonts w:hint="eastAsia" w:ascii="宋体" w:hAnsi="宋体" w:eastAsia="宋体" w:cs="宋体"/>
                <w:color w:val="auto"/>
                <w:sz w:val="21"/>
                <w:szCs w:val="21"/>
                <w:highlight w:val="none"/>
                <w:lang w:val="en-US" w:eastAsia="zh-CN" w:bidi="ar"/>
              </w:rPr>
              <w:t>,18CM</w:t>
            </w:r>
            <w:r>
              <w:rPr>
                <w:rStyle w:val="10"/>
                <w:rFonts w:hint="eastAsia" w:ascii="宋体" w:hAnsi="宋体" w:eastAsia="宋体" w:cs="宋体"/>
                <w:color w:val="auto"/>
                <w:sz w:val="21"/>
                <w:szCs w:val="21"/>
                <w:highlight w:val="none"/>
                <w:lang w:val="en-US" w:eastAsia="zh-CN" w:bidi="ar"/>
              </w:rPr>
              <w:t>深度时</w:t>
            </w:r>
            <w:r>
              <w:rPr>
                <w:rStyle w:val="11"/>
                <w:rFonts w:hint="eastAsia" w:ascii="宋体" w:hAnsi="宋体" w:eastAsia="宋体" w:cs="宋体"/>
                <w:color w:val="auto"/>
                <w:sz w:val="21"/>
                <w:szCs w:val="21"/>
                <w:highlight w:val="none"/>
                <w:lang w:val="en-US" w:eastAsia="zh-CN" w:bidi="ar"/>
              </w:rPr>
              <w:t>,</w:t>
            </w:r>
            <w:r>
              <w:rPr>
                <w:rStyle w:val="10"/>
                <w:rFonts w:hint="eastAsia" w:ascii="宋体" w:hAnsi="宋体" w:eastAsia="宋体" w:cs="宋体"/>
                <w:color w:val="auto"/>
                <w:sz w:val="21"/>
                <w:szCs w:val="21"/>
                <w:highlight w:val="none"/>
                <w:lang w:val="en-US" w:eastAsia="zh-CN" w:bidi="ar"/>
              </w:rPr>
              <w:t>帧速度≥</w:t>
            </w:r>
            <w:r>
              <w:rPr>
                <w:rStyle w:val="11"/>
                <w:rFonts w:hint="eastAsia" w:ascii="宋体" w:hAnsi="宋体" w:eastAsia="宋体" w:cs="宋体"/>
                <w:color w:val="auto"/>
                <w:sz w:val="21"/>
                <w:szCs w:val="21"/>
                <w:highlight w:val="none"/>
                <w:lang w:val="en-US" w:eastAsia="zh-CN" w:bidi="ar"/>
              </w:rPr>
              <w:t>58</w:t>
            </w:r>
            <w:r>
              <w:rPr>
                <w:rStyle w:val="10"/>
                <w:rFonts w:hint="eastAsia" w:ascii="宋体" w:hAnsi="宋体" w:eastAsia="宋体" w:cs="宋体"/>
                <w:color w:val="auto"/>
                <w:sz w:val="21"/>
                <w:szCs w:val="21"/>
                <w:highlight w:val="none"/>
                <w:lang w:val="en-US" w:eastAsia="zh-CN" w:bidi="ar"/>
              </w:rPr>
              <w:t>帧</w:t>
            </w:r>
            <w:r>
              <w:rPr>
                <w:rStyle w:val="11"/>
                <w:rFonts w:hint="eastAsia" w:ascii="宋体" w:hAnsi="宋体" w:eastAsia="宋体" w:cs="宋体"/>
                <w:color w:val="auto"/>
                <w:sz w:val="21"/>
                <w:szCs w:val="21"/>
                <w:highlight w:val="none"/>
                <w:lang w:val="en-US" w:eastAsia="zh-CN" w:bidi="ar"/>
              </w:rPr>
              <w:t>/</w:t>
            </w:r>
            <w:r>
              <w:rPr>
                <w:rStyle w:val="10"/>
                <w:rFonts w:hint="eastAsia" w:ascii="宋体" w:hAnsi="宋体" w:eastAsia="宋体" w:cs="宋体"/>
                <w:color w:val="auto"/>
                <w:sz w:val="21"/>
                <w:szCs w:val="21"/>
                <w:highlight w:val="none"/>
                <w:lang w:val="en-US" w:eastAsia="zh-CN" w:bidi="ar"/>
              </w:rPr>
              <w:t>秒</w:t>
            </w:r>
            <w:r>
              <w:rPr>
                <w:rStyle w:val="11"/>
                <w:rFonts w:hint="eastAsia" w:ascii="宋体" w:hAnsi="宋体" w:eastAsia="宋体" w:cs="宋体"/>
                <w:color w:val="auto"/>
                <w:sz w:val="21"/>
                <w:szCs w:val="21"/>
                <w:highlight w:val="none"/>
                <w:lang w:val="en-US" w:eastAsia="zh-CN" w:bidi="ar"/>
              </w:rPr>
              <w:t>,</w:t>
            </w:r>
            <w:r>
              <w:rPr>
                <w:rStyle w:val="10"/>
                <w:rFonts w:hint="eastAsia" w:ascii="宋体" w:hAnsi="宋体" w:eastAsia="宋体" w:cs="宋体"/>
                <w:color w:val="auto"/>
                <w:sz w:val="21"/>
                <w:szCs w:val="21"/>
                <w:highlight w:val="none"/>
                <w:lang w:val="en-US" w:eastAsia="zh-CN" w:bidi="ar"/>
              </w:rPr>
              <w:t>凸阵探头</w:t>
            </w:r>
            <w:r>
              <w:rPr>
                <w:rStyle w:val="11"/>
                <w:rFonts w:hint="eastAsia" w:ascii="宋体" w:hAnsi="宋体" w:eastAsia="宋体" w:cs="宋体"/>
                <w:color w:val="auto"/>
                <w:sz w:val="21"/>
                <w:szCs w:val="21"/>
                <w:highlight w:val="none"/>
                <w:lang w:val="en-US" w:eastAsia="zh-CN" w:bidi="ar"/>
              </w:rPr>
              <w:t>, 85°</w:t>
            </w:r>
            <w:r>
              <w:rPr>
                <w:rStyle w:val="10"/>
                <w:rFonts w:hint="eastAsia" w:ascii="宋体" w:hAnsi="宋体" w:eastAsia="宋体" w:cs="宋体"/>
                <w:color w:val="auto"/>
                <w:sz w:val="21"/>
                <w:szCs w:val="21"/>
                <w:highlight w:val="none"/>
                <w:lang w:val="en-US" w:eastAsia="zh-CN" w:bidi="ar"/>
              </w:rPr>
              <w:t>角</w:t>
            </w:r>
            <w:r>
              <w:rPr>
                <w:rStyle w:val="11"/>
                <w:rFonts w:hint="eastAsia" w:ascii="宋体" w:hAnsi="宋体" w:eastAsia="宋体" w:cs="宋体"/>
                <w:color w:val="auto"/>
                <w:sz w:val="21"/>
                <w:szCs w:val="21"/>
                <w:highlight w:val="none"/>
                <w:lang w:val="en-US" w:eastAsia="zh-CN" w:bidi="ar"/>
              </w:rPr>
              <w:t>,18CM</w:t>
            </w:r>
            <w:r>
              <w:rPr>
                <w:rStyle w:val="10"/>
                <w:rFonts w:hint="eastAsia" w:ascii="宋体" w:hAnsi="宋体" w:eastAsia="宋体" w:cs="宋体"/>
                <w:color w:val="auto"/>
                <w:sz w:val="21"/>
                <w:szCs w:val="21"/>
                <w:highlight w:val="none"/>
                <w:lang w:val="en-US" w:eastAsia="zh-CN" w:bidi="ar"/>
              </w:rPr>
              <w:t>深度时</w:t>
            </w:r>
            <w:r>
              <w:rPr>
                <w:rStyle w:val="11"/>
                <w:rFonts w:hint="eastAsia" w:ascii="宋体" w:hAnsi="宋体" w:eastAsia="宋体" w:cs="宋体"/>
                <w:color w:val="auto"/>
                <w:sz w:val="21"/>
                <w:szCs w:val="21"/>
                <w:highlight w:val="none"/>
                <w:lang w:val="en-US" w:eastAsia="zh-CN" w:bidi="ar"/>
              </w:rPr>
              <w:t>,</w:t>
            </w:r>
            <w:r>
              <w:rPr>
                <w:rStyle w:val="10"/>
                <w:rFonts w:hint="eastAsia" w:ascii="宋体" w:hAnsi="宋体" w:eastAsia="宋体" w:cs="宋体"/>
                <w:color w:val="auto"/>
                <w:sz w:val="21"/>
                <w:szCs w:val="21"/>
                <w:highlight w:val="none"/>
                <w:lang w:val="en-US" w:eastAsia="zh-CN" w:bidi="ar"/>
              </w:rPr>
              <w:t>帧速度≥</w:t>
            </w:r>
            <w:r>
              <w:rPr>
                <w:rStyle w:val="11"/>
                <w:rFonts w:hint="eastAsia" w:ascii="宋体" w:hAnsi="宋体" w:eastAsia="宋体" w:cs="宋体"/>
                <w:color w:val="auto"/>
                <w:sz w:val="21"/>
                <w:szCs w:val="21"/>
                <w:highlight w:val="none"/>
                <w:lang w:val="en-US" w:eastAsia="zh-CN" w:bidi="ar"/>
              </w:rPr>
              <w:t>47</w:t>
            </w:r>
            <w:r>
              <w:rPr>
                <w:rStyle w:val="10"/>
                <w:rFonts w:hint="eastAsia" w:ascii="宋体" w:hAnsi="宋体" w:eastAsia="宋体" w:cs="宋体"/>
                <w:color w:val="auto"/>
                <w:sz w:val="21"/>
                <w:szCs w:val="21"/>
                <w:highlight w:val="none"/>
                <w:lang w:val="en-US" w:eastAsia="zh-CN" w:bidi="ar"/>
              </w:rPr>
              <w:t>帧</w:t>
            </w:r>
            <w:r>
              <w:rPr>
                <w:rStyle w:val="11"/>
                <w:rFonts w:hint="eastAsia" w:ascii="宋体" w:hAnsi="宋体" w:eastAsia="宋体" w:cs="宋体"/>
                <w:color w:val="auto"/>
                <w:sz w:val="21"/>
                <w:szCs w:val="21"/>
                <w:highlight w:val="none"/>
                <w:lang w:val="en-US" w:eastAsia="zh-CN" w:bidi="ar"/>
              </w:rPr>
              <w:t>/</w:t>
            </w:r>
            <w:r>
              <w:rPr>
                <w:rStyle w:val="10"/>
                <w:rFonts w:hint="eastAsia" w:ascii="宋体" w:hAnsi="宋体" w:eastAsia="宋体" w:cs="宋体"/>
                <w:color w:val="auto"/>
                <w:sz w:val="21"/>
                <w:szCs w:val="21"/>
                <w:highlight w:val="none"/>
                <w:lang w:val="en-US" w:eastAsia="zh-CN" w:bidi="ar"/>
              </w:rPr>
              <w:t>秒。</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21</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数字式声束形成器：数字式全程动态聚焦，数字式可变孔径及动态变迹，</w:t>
            </w:r>
            <w:r>
              <w:rPr>
                <w:rStyle w:val="11"/>
                <w:rFonts w:hint="eastAsia" w:ascii="宋体" w:hAnsi="宋体" w:eastAsia="宋体" w:cs="宋体"/>
                <w:color w:val="auto"/>
                <w:sz w:val="21"/>
                <w:szCs w:val="21"/>
                <w:highlight w:val="none"/>
                <w:lang w:val="en-US" w:eastAsia="zh-CN" w:bidi="ar"/>
              </w:rPr>
              <w:t>A/D</w:t>
            </w:r>
            <w:r>
              <w:rPr>
                <w:rStyle w:val="10"/>
                <w:rFonts w:hint="eastAsia" w:ascii="宋体" w:hAnsi="宋体" w:eastAsia="宋体" w:cs="宋体"/>
                <w:color w:val="auto"/>
                <w:sz w:val="21"/>
                <w:szCs w:val="21"/>
                <w:highlight w:val="none"/>
                <w:lang w:val="en-US" w:eastAsia="zh-CN" w:bidi="ar"/>
              </w:rPr>
              <w:t>≥</w:t>
            </w:r>
            <w:r>
              <w:rPr>
                <w:rStyle w:val="11"/>
                <w:rFonts w:hint="eastAsia" w:ascii="宋体" w:hAnsi="宋体" w:eastAsia="宋体" w:cs="宋体"/>
                <w:color w:val="auto"/>
                <w:sz w:val="21"/>
                <w:szCs w:val="21"/>
                <w:highlight w:val="none"/>
                <w:lang w:val="en-US" w:eastAsia="zh-CN" w:bidi="ar"/>
              </w:rPr>
              <w:t>12bit。</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22</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高分辨率放大：放大时增加信息量，提高分辨率及帧率。</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23</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声束聚焦：发射及接收全程连续聚焦</w:t>
            </w:r>
            <w:r>
              <w:rPr>
                <w:rStyle w:val="11"/>
                <w:rFonts w:hint="eastAsia" w:ascii="宋体" w:hAnsi="宋体" w:eastAsia="宋体" w:cs="宋体"/>
                <w:color w:val="auto"/>
                <w:sz w:val="21"/>
                <w:szCs w:val="21"/>
                <w:highlight w:val="none"/>
                <w:lang w:val="en-US" w:eastAsia="zh-CN" w:bidi="ar"/>
              </w:rPr>
              <w:t>。</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24</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二维灰阶成像</w:t>
            </w:r>
            <w:r>
              <w:rPr>
                <w:rStyle w:val="11"/>
                <w:rFonts w:hint="eastAsia" w:ascii="宋体" w:hAnsi="宋体" w:eastAsia="宋体" w:cs="宋体"/>
                <w:color w:val="auto"/>
                <w:sz w:val="21"/>
                <w:szCs w:val="21"/>
                <w:highlight w:val="none"/>
                <w:lang w:val="en-US" w:eastAsia="zh-CN" w:bidi="ar"/>
              </w:rPr>
              <w:t xml:space="preserve"> ³ 256 </w:t>
            </w:r>
            <w:r>
              <w:rPr>
                <w:rStyle w:val="10"/>
                <w:rFonts w:hint="eastAsia" w:ascii="宋体" w:hAnsi="宋体" w:eastAsia="宋体" w:cs="宋体"/>
                <w:color w:val="auto"/>
                <w:sz w:val="21"/>
                <w:szCs w:val="21"/>
                <w:highlight w:val="none"/>
                <w:lang w:val="en-US" w:eastAsia="zh-CN" w:bidi="ar"/>
              </w:rPr>
              <w:t>灰阶。</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25</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显示模式：脉冲多普勒</w:t>
            </w:r>
            <w:r>
              <w:rPr>
                <w:rStyle w:val="11"/>
                <w:rFonts w:hint="eastAsia" w:ascii="宋体" w:hAnsi="宋体" w:eastAsia="宋体" w:cs="宋体"/>
                <w:color w:val="auto"/>
                <w:sz w:val="21"/>
                <w:szCs w:val="21"/>
                <w:highlight w:val="none"/>
                <w:lang w:val="en-US" w:eastAsia="zh-CN" w:bidi="ar"/>
              </w:rPr>
              <w:t xml:space="preserve"> (PWD)</w:t>
            </w:r>
            <w:r>
              <w:rPr>
                <w:rStyle w:val="10"/>
                <w:rFonts w:hint="eastAsia" w:ascii="宋体" w:hAnsi="宋体" w:eastAsia="宋体" w:cs="宋体"/>
                <w:color w:val="auto"/>
                <w:sz w:val="21"/>
                <w:szCs w:val="21"/>
                <w:highlight w:val="none"/>
                <w:lang w:val="en-US" w:eastAsia="zh-CN" w:bidi="ar"/>
              </w:rPr>
              <w:t>、高脉冲重复频率</w:t>
            </w:r>
            <w:r>
              <w:rPr>
                <w:rStyle w:val="11"/>
                <w:rFonts w:hint="eastAsia" w:ascii="宋体" w:hAnsi="宋体" w:eastAsia="宋体" w:cs="宋体"/>
                <w:color w:val="auto"/>
                <w:sz w:val="21"/>
                <w:szCs w:val="21"/>
                <w:highlight w:val="none"/>
                <w:lang w:val="en-US" w:eastAsia="zh-CN" w:bidi="ar"/>
              </w:rPr>
              <w:t xml:space="preserve"> (HPRF)</w:t>
            </w:r>
            <w:r>
              <w:rPr>
                <w:rStyle w:val="10"/>
                <w:rFonts w:hint="eastAsia" w:ascii="宋体" w:hAnsi="宋体" w:eastAsia="宋体" w:cs="宋体"/>
                <w:color w:val="auto"/>
                <w:sz w:val="21"/>
                <w:szCs w:val="21"/>
                <w:highlight w:val="none"/>
                <w:lang w:val="en-US" w:eastAsia="zh-CN" w:bidi="ar"/>
              </w:rPr>
              <w:t>、连续波多普勒（</w:t>
            </w:r>
            <w:r>
              <w:rPr>
                <w:rStyle w:val="11"/>
                <w:rFonts w:hint="eastAsia" w:ascii="宋体" w:hAnsi="宋体" w:eastAsia="宋体" w:cs="宋体"/>
                <w:color w:val="auto"/>
                <w:sz w:val="21"/>
                <w:szCs w:val="21"/>
                <w:highlight w:val="none"/>
                <w:lang w:val="en-US" w:eastAsia="zh-CN" w:bidi="ar"/>
              </w:rPr>
              <w:t>CW</w:t>
            </w:r>
            <w:r>
              <w:rPr>
                <w:rStyle w:val="10"/>
                <w:rFonts w:hint="eastAsia" w:ascii="宋体" w:hAnsi="宋体" w:eastAsia="宋体" w:cs="宋体"/>
                <w:color w:val="auto"/>
                <w:sz w:val="21"/>
                <w:szCs w:val="21"/>
                <w:highlight w:val="none"/>
                <w:lang w:val="en-US" w:eastAsia="zh-CN" w:bidi="ar"/>
              </w:rPr>
              <w:t>）；</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26</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显示方式：</w:t>
            </w:r>
            <w:r>
              <w:rPr>
                <w:rStyle w:val="11"/>
                <w:rFonts w:hint="eastAsia" w:ascii="宋体" w:hAnsi="宋体" w:eastAsia="宋体" w:cs="宋体"/>
                <w:color w:val="auto"/>
                <w:sz w:val="21"/>
                <w:szCs w:val="21"/>
                <w:highlight w:val="none"/>
                <w:lang w:val="en-US" w:eastAsia="zh-CN" w:bidi="ar"/>
              </w:rPr>
              <w:t>B/D</w:t>
            </w:r>
            <w:r>
              <w:rPr>
                <w:rStyle w:val="10"/>
                <w:rFonts w:hint="eastAsia" w:ascii="宋体" w:hAnsi="宋体" w:eastAsia="宋体" w:cs="宋体"/>
                <w:color w:val="auto"/>
                <w:sz w:val="21"/>
                <w:szCs w:val="21"/>
                <w:highlight w:val="none"/>
                <w:lang w:val="en-US" w:eastAsia="zh-CN" w:bidi="ar"/>
              </w:rPr>
              <w:t>、</w:t>
            </w:r>
            <w:r>
              <w:rPr>
                <w:rStyle w:val="11"/>
                <w:rFonts w:hint="eastAsia" w:ascii="宋体" w:hAnsi="宋体" w:eastAsia="宋体" w:cs="宋体"/>
                <w:color w:val="auto"/>
                <w:sz w:val="21"/>
                <w:szCs w:val="21"/>
                <w:highlight w:val="none"/>
                <w:lang w:val="en-US" w:eastAsia="zh-CN" w:bidi="ar"/>
              </w:rPr>
              <w:t>M/D</w:t>
            </w:r>
            <w:r>
              <w:rPr>
                <w:rStyle w:val="10"/>
                <w:rFonts w:hint="eastAsia" w:ascii="宋体" w:hAnsi="宋体" w:eastAsia="宋体" w:cs="宋体"/>
                <w:color w:val="auto"/>
                <w:sz w:val="21"/>
                <w:szCs w:val="21"/>
                <w:highlight w:val="none"/>
                <w:lang w:val="en-US" w:eastAsia="zh-CN" w:bidi="ar"/>
              </w:rPr>
              <w:t>、</w:t>
            </w:r>
            <w:r>
              <w:rPr>
                <w:rStyle w:val="11"/>
                <w:rFonts w:hint="eastAsia" w:ascii="宋体" w:hAnsi="宋体" w:eastAsia="宋体" w:cs="宋体"/>
                <w:color w:val="auto"/>
                <w:sz w:val="21"/>
                <w:szCs w:val="21"/>
                <w:highlight w:val="none"/>
                <w:lang w:val="en-US" w:eastAsia="zh-CN" w:bidi="ar"/>
              </w:rPr>
              <w:t>D</w:t>
            </w:r>
            <w:r>
              <w:rPr>
                <w:rStyle w:val="10"/>
                <w:rFonts w:hint="eastAsia" w:ascii="宋体" w:hAnsi="宋体" w:eastAsia="宋体" w:cs="宋体"/>
                <w:color w:val="auto"/>
                <w:sz w:val="21"/>
                <w:szCs w:val="21"/>
                <w:highlight w:val="none"/>
                <w:lang w:val="en-US" w:eastAsia="zh-CN" w:bidi="ar"/>
              </w:rPr>
              <w:t>、</w:t>
            </w:r>
            <w:r>
              <w:rPr>
                <w:rStyle w:val="11"/>
                <w:rFonts w:hint="eastAsia" w:ascii="宋体" w:hAnsi="宋体" w:eastAsia="宋体" w:cs="宋体"/>
                <w:color w:val="auto"/>
                <w:sz w:val="21"/>
                <w:szCs w:val="21"/>
                <w:highlight w:val="none"/>
                <w:lang w:val="en-US" w:eastAsia="zh-CN" w:bidi="ar"/>
              </w:rPr>
              <w:t>B/CDV</w:t>
            </w:r>
            <w:r>
              <w:rPr>
                <w:rStyle w:val="10"/>
                <w:rFonts w:hint="eastAsia" w:ascii="宋体" w:hAnsi="宋体" w:eastAsia="宋体" w:cs="宋体"/>
                <w:color w:val="auto"/>
                <w:sz w:val="21"/>
                <w:szCs w:val="21"/>
                <w:highlight w:val="none"/>
                <w:lang w:val="en-US" w:eastAsia="zh-CN" w:bidi="ar"/>
              </w:rPr>
              <w:t>、</w:t>
            </w:r>
            <w:r>
              <w:rPr>
                <w:rStyle w:val="11"/>
                <w:rFonts w:hint="eastAsia" w:ascii="宋体" w:hAnsi="宋体" w:eastAsia="宋体" w:cs="宋体"/>
                <w:color w:val="auto"/>
                <w:sz w:val="21"/>
                <w:szCs w:val="21"/>
                <w:highlight w:val="none"/>
                <w:lang w:val="en-US" w:eastAsia="zh-CN" w:bidi="ar"/>
              </w:rPr>
              <w:t>B/CPA</w:t>
            </w:r>
            <w:r>
              <w:rPr>
                <w:rStyle w:val="10"/>
                <w:rFonts w:hint="eastAsia" w:ascii="宋体" w:hAnsi="宋体" w:eastAsia="宋体" w:cs="宋体"/>
                <w:color w:val="auto"/>
                <w:sz w:val="21"/>
                <w:szCs w:val="21"/>
                <w:highlight w:val="none"/>
                <w:lang w:val="en-US" w:eastAsia="zh-CN" w:bidi="ar"/>
              </w:rPr>
              <w:t>、</w:t>
            </w:r>
            <w:r>
              <w:rPr>
                <w:rStyle w:val="11"/>
                <w:rFonts w:hint="eastAsia" w:ascii="宋体" w:hAnsi="宋体" w:eastAsia="宋体" w:cs="宋体"/>
                <w:color w:val="auto"/>
                <w:sz w:val="21"/>
                <w:szCs w:val="21"/>
                <w:highlight w:val="none"/>
                <w:lang w:val="en-US" w:eastAsia="zh-CN" w:bidi="ar"/>
              </w:rPr>
              <w:t>B/CDV/PW</w:t>
            </w:r>
            <w:r>
              <w:rPr>
                <w:rStyle w:val="10"/>
                <w:rFonts w:hint="eastAsia" w:ascii="宋体" w:hAnsi="宋体" w:eastAsia="宋体" w:cs="宋体"/>
                <w:color w:val="auto"/>
                <w:sz w:val="21"/>
                <w:szCs w:val="21"/>
                <w:highlight w:val="none"/>
                <w:lang w:val="en-US" w:eastAsia="zh-CN" w:bidi="ar"/>
              </w:rPr>
              <w:t>；</w:t>
            </w:r>
            <w:r>
              <w:rPr>
                <w:rStyle w:val="11"/>
                <w:rFonts w:hint="eastAsia" w:ascii="宋体" w:hAnsi="宋体" w:eastAsia="宋体" w:cs="宋体"/>
                <w:color w:val="auto"/>
                <w:sz w:val="21"/>
                <w:szCs w:val="21"/>
                <w:highlight w:val="none"/>
                <w:lang w:val="en-US" w:eastAsia="zh-CN" w:bidi="ar"/>
              </w:rPr>
              <w:t>B/CPA/PW</w:t>
            </w:r>
            <w:r>
              <w:rPr>
                <w:rStyle w:val="10"/>
                <w:rFonts w:hint="eastAsia" w:ascii="宋体" w:hAnsi="宋体" w:eastAsia="宋体" w:cs="宋体"/>
                <w:color w:val="auto"/>
                <w:sz w:val="21"/>
                <w:szCs w:val="21"/>
                <w:highlight w:val="none"/>
                <w:lang w:val="en-US" w:eastAsia="zh-CN" w:bidi="ar"/>
              </w:rPr>
              <w:t>；</w:t>
            </w:r>
            <w:r>
              <w:rPr>
                <w:rStyle w:val="11"/>
                <w:rFonts w:hint="eastAsia" w:ascii="宋体" w:hAnsi="宋体" w:eastAsia="宋体" w:cs="宋体"/>
                <w:color w:val="auto"/>
                <w:sz w:val="21"/>
                <w:szCs w:val="21"/>
                <w:highlight w:val="none"/>
                <w:lang w:val="en-US" w:eastAsia="zh-CN" w:bidi="ar"/>
              </w:rPr>
              <w:t>B/CDV/CW</w:t>
            </w:r>
            <w:r>
              <w:rPr>
                <w:rStyle w:val="10"/>
                <w:rFonts w:hint="eastAsia" w:ascii="宋体" w:hAnsi="宋体" w:eastAsia="宋体" w:cs="宋体"/>
                <w:color w:val="auto"/>
                <w:sz w:val="21"/>
                <w:szCs w:val="21"/>
                <w:highlight w:val="none"/>
                <w:lang w:val="en-US" w:eastAsia="zh-CN" w:bidi="ar"/>
              </w:rPr>
              <w:t>；</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27</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最大测量速度：</w:t>
            </w:r>
            <w:r>
              <w:rPr>
                <w:rStyle w:val="11"/>
                <w:rFonts w:hint="eastAsia" w:ascii="宋体" w:hAnsi="宋体" w:eastAsia="宋体" w:cs="宋体"/>
                <w:color w:val="auto"/>
                <w:sz w:val="21"/>
                <w:szCs w:val="21"/>
                <w:highlight w:val="none"/>
                <w:lang w:val="en-US" w:eastAsia="zh-CN" w:bidi="ar"/>
              </w:rPr>
              <w:t>PWD</w:t>
            </w:r>
            <w:r>
              <w:rPr>
                <w:rStyle w:val="10"/>
                <w:rFonts w:hint="eastAsia" w:ascii="宋体" w:hAnsi="宋体" w:eastAsia="宋体" w:cs="宋体"/>
                <w:color w:val="auto"/>
                <w:sz w:val="21"/>
                <w:szCs w:val="21"/>
                <w:highlight w:val="none"/>
                <w:lang w:val="en-US" w:eastAsia="zh-CN" w:bidi="ar"/>
              </w:rPr>
              <w:t>正或反向血流速度：≥</w:t>
            </w:r>
            <w:r>
              <w:rPr>
                <w:rStyle w:val="11"/>
                <w:rFonts w:hint="eastAsia" w:ascii="宋体" w:hAnsi="宋体" w:eastAsia="宋体" w:cs="宋体"/>
                <w:color w:val="auto"/>
                <w:sz w:val="21"/>
                <w:szCs w:val="21"/>
                <w:highlight w:val="none"/>
                <w:lang w:val="en-US" w:eastAsia="zh-CN" w:bidi="ar"/>
              </w:rPr>
              <w:t xml:space="preserve"> 10.0 m/s</w:t>
            </w:r>
            <w:r>
              <w:rPr>
                <w:rStyle w:val="10"/>
                <w:rFonts w:hint="eastAsia" w:ascii="宋体" w:hAnsi="宋体" w:eastAsia="宋体" w:cs="宋体"/>
                <w:color w:val="auto"/>
                <w:sz w:val="21"/>
                <w:szCs w:val="21"/>
                <w:highlight w:val="none"/>
                <w:lang w:val="en-US" w:eastAsia="zh-CN" w:bidi="ar"/>
              </w:rPr>
              <w:t>（</w:t>
            </w:r>
            <w:r>
              <w:rPr>
                <w:rStyle w:val="11"/>
                <w:rFonts w:hint="eastAsia" w:ascii="宋体" w:hAnsi="宋体" w:eastAsia="宋体" w:cs="宋体"/>
                <w:color w:val="auto"/>
                <w:sz w:val="21"/>
                <w:szCs w:val="21"/>
                <w:highlight w:val="none"/>
                <w:lang w:val="en-US" w:eastAsia="zh-CN" w:bidi="ar"/>
              </w:rPr>
              <w:t>0</w:t>
            </w:r>
            <w:r>
              <w:rPr>
                <w:rStyle w:val="10"/>
                <w:rFonts w:hint="eastAsia" w:ascii="宋体" w:hAnsi="宋体" w:eastAsia="宋体" w:cs="宋体"/>
                <w:color w:val="auto"/>
                <w:sz w:val="21"/>
                <w:szCs w:val="21"/>
                <w:highlight w:val="none"/>
                <w:lang w:val="en-US" w:eastAsia="zh-CN" w:bidi="ar"/>
              </w:rPr>
              <w:t>度夹角）；</w:t>
            </w:r>
            <w:r>
              <w:rPr>
                <w:rStyle w:val="11"/>
                <w:rFonts w:hint="eastAsia" w:ascii="宋体" w:hAnsi="宋体" w:eastAsia="宋体" w:cs="宋体"/>
                <w:color w:val="auto"/>
                <w:sz w:val="21"/>
                <w:szCs w:val="21"/>
                <w:highlight w:val="none"/>
                <w:lang w:val="en-US" w:eastAsia="zh-CN" w:bidi="ar"/>
              </w:rPr>
              <w:t>CWD:</w:t>
            </w:r>
            <w:r>
              <w:rPr>
                <w:rStyle w:val="10"/>
                <w:rFonts w:hint="eastAsia" w:ascii="宋体" w:hAnsi="宋体" w:eastAsia="宋体" w:cs="宋体"/>
                <w:color w:val="auto"/>
                <w:sz w:val="21"/>
                <w:szCs w:val="21"/>
                <w:highlight w:val="none"/>
                <w:lang w:val="en-US" w:eastAsia="zh-CN" w:bidi="ar"/>
              </w:rPr>
              <w:t>血流速度</w:t>
            </w:r>
            <w:r>
              <w:rPr>
                <w:rStyle w:val="11"/>
                <w:rFonts w:hint="eastAsia" w:ascii="宋体" w:hAnsi="宋体" w:eastAsia="宋体" w:cs="宋体"/>
                <w:color w:val="auto"/>
                <w:sz w:val="21"/>
                <w:szCs w:val="21"/>
                <w:highlight w:val="none"/>
                <w:lang w:val="en-US" w:eastAsia="zh-CN" w:bidi="ar"/>
              </w:rPr>
              <w:t>³28.0m/s。</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28</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1"/>
                <w:rFonts w:hint="eastAsia" w:ascii="宋体" w:hAnsi="宋体" w:eastAsia="宋体" w:cs="宋体"/>
                <w:color w:val="auto"/>
                <w:sz w:val="21"/>
                <w:szCs w:val="21"/>
                <w:highlight w:val="none"/>
                <w:lang w:val="en-US" w:eastAsia="zh-CN" w:bidi="ar"/>
              </w:rPr>
              <w:t>Doppler</w:t>
            </w:r>
            <w:r>
              <w:rPr>
                <w:rStyle w:val="10"/>
                <w:rFonts w:hint="eastAsia" w:ascii="宋体" w:hAnsi="宋体" w:eastAsia="宋体" w:cs="宋体"/>
                <w:color w:val="auto"/>
                <w:sz w:val="21"/>
                <w:szCs w:val="21"/>
                <w:highlight w:val="none"/>
                <w:lang w:val="en-US" w:eastAsia="zh-CN" w:bidi="ar"/>
              </w:rPr>
              <w:t>及</w:t>
            </w:r>
            <w:r>
              <w:rPr>
                <w:rStyle w:val="11"/>
                <w:rFonts w:hint="eastAsia" w:ascii="宋体" w:hAnsi="宋体" w:eastAsia="宋体" w:cs="宋体"/>
                <w:color w:val="auto"/>
                <w:sz w:val="21"/>
                <w:szCs w:val="21"/>
                <w:highlight w:val="none"/>
                <w:lang w:val="en-US" w:eastAsia="zh-CN" w:bidi="ar"/>
              </w:rPr>
              <w:t>M</w:t>
            </w:r>
            <w:r>
              <w:rPr>
                <w:rStyle w:val="10"/>
                <w:rFonts w:hint="eastAsia" w:ascii="宋体" w:hAnsi="宋体" w:eastAsia="宋体" w:cs="宋体"/>
                <w:color w:val="auto"/>
                <w:sz w:val="21"/>
                <w:szCs w:val="21"/>
                <w:highlight w:val="none"/>
                <w:lang w:val="en-US" w:eastAsia="zh-CN" w:bidi="ar"/>
              </w:rPr>
              <w:t>型电影回放：</w:t>
            </w:r>
            <w:r>
              <w:rPr>
                <w:rStyle w:val="11"/>
                <w:rFonts w:hint="eastAsia" w:ascii="宋体" w:hAnsi="宋体" w:eastAsia="宋体" w:cs="宋体"/>
                <w:color w:val="auto"/>
                <w:sz w:val="21"/>
                <w:szCs w:val="21"/>
                <w:highlight w:val="none"/>
                <w:lang w:val="en-US" w:eastAsia="zh-CN" w:bidi="ar"/>
              </w:rPr>
              <w:t xml:space="preserve">³48 </w:t>
            </w:r>
            <w:r>
              <w:rPr>
                <w:rStyle w:val="10"/>
                <w:rFonts w:hint="eastAsia" w:ascii="宋体" w:hAnsi="宋体" w:eastAsia="宋体" w:cs="宋体"/>
                <w:color w:val="auto"/>
                <w:sz w:val="21"/>
                <w:szCs w:val="21"/>
                <w:highlight w:val="none"/>
                <w:lang w:val="en-US" w:eastAsia="zh-CN" w:bidi="ar"/>
              </w:rPr>
              <w:t>秒。</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1"/>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29</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滤波器：高通滤波或低通滤波两种，分级选择。</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30</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显示控制：反转显示</w:t>
            </w:r>
            <w:r>
              <w:rPr>
                <w:rStyle w:val="11"/>
                <w:rFonts w:hint="eastAsia" w:ascii="宋体" w:hAnsi="宋体" w:eastAsia="宋体" w:cs="宋体"/>
                <w:color w:val="auto"/>
                <w:sz w:val="21"/>
                <w:szCs w:val="21"/>
                <w:highlight w:val="none"/>
                <w:lang w:val="en-US" w:eastAsia="zh-CN" w:bidi="ar"/>
              </w:rPr>
              <w:t xml:space="preserve"> (</w:t>
            </w:r>
            <w:r>
              <w:rPr>
                <w:rStyle w:val="10"/>
                <w:rFonts w:hint="eastAsia" w:ascii="宋体" w:hAnsi="宋体" w:eastAsia="宋体" w:cs="宋体"/>
                <w:color w:val="auto"/>
                <w:sz w:val="21"/>
                <w:szCs w:val="21"/>
                <w:highlight w:val="none"/>
                <w:lang w:val="en-US" w:eastAsia="zh-CN" w:bidi="ar"/>
              </w:rPr>
              <w:t>上</w:t>
            </w:r>
            <w:r>
              <w:rPr>
                <w:rStyle w:val="11"/>
                <w:rFonts w:hint="eastAsia" w:ascii="宋体" w:hAnsi="宋体" w:eastAsia="宋体" w:cs="宋体"/>
                <w:color w:val="auto"/>
                <w:sz w:val="21"/>
                <w:szCs w:val="21"/>
                <w:highlight w:val="none"/>
                <w:lang w:val="en-US" w:eastAsia="zh-CN" w:bidi="ar"/>
              </w:rPr>
              <w:t>/</w:t>
            </w:r>
            <w:r>
              <w:rPr>
                <w:rStyle w:val="10"/>
                <w:rFonts w:hint="eastAsia" w:ascii="宋体" w:hAnsi="宋体" w:eastAsia="宋体" w:cs="宋体"/>
                <w:color w:val="auto"/>
                <w:sz w:val="21"/>
                <w:szCs w:val="21"/>
                <w:highlight w:val="none"/>
                <w:lang w:val="en-US" w:eastAsia="zh-CN" w:bidi="ar"/>
              </w:rPr>
              <w:t>下</w:t>
            </w:r>
            <w:r>
              <w:rPr>
                <w:rStyle w:val="11"/>
                <w:rFonts w:hint="eastAsia" w:ascii="宋体" w:hAnsi="宋体" w:eastAsia="宋体" w:cs="宋体"/>
                <w:color w:val="auto"/>
                <w:sz w:val="21"/>
                <w:szCs w:val="21"/>
                <w:highlight w:val="none"/>
                <w:lang w:val="en-US" w:eastAsia="zh-CN" w:bidi="ar"/>
              </w:rPr>
              <w:t>)</w:t>
            </w:r>
            <w:r>
              <w:rPr>
                <w:rStyle w:val="10"/>
                <w:rFonts w:hint="eastAsia" w:ascii="宋体" w:hAnsi="宋体" w:eastAsia="宋体" w:cs="宋体"/>
                <w:color w:val="auto"/>
                <w:sz w:val="21"/>
                <w:szCs w:val="21"/>
                <w:highlight w:val="none"/>
                <w:lang w:val="en-US" w:eastAsia="zh-CN" w:bidi="ar"/>
              </w:rPr>
              <w:t>、零移位、</w:t>
            </w:r>
            <w:r>
              <w:rPr>
                <w:rStyle w:val="11"/>
                <w:rFonts w:hint="eastAsia" w:ascii="宋体" w:hAnsi="宋体" w:eastAsia="宋体" w:cs="宋体"/>
                <w:color w:val="auto"/>
                <w:sz w:val="21"/>
                <w:szCs w:val="21"/>
                <w:highlight w:val="none"/>
                <w:lang w:val="en-US" w:eastAsia="zh-CN" w:bidi="ar"/>
              </w:rPr>
              <w:t>B-</w:t>
            </w:r>
            <w:r>
              <w:rPr>
                <w:rStyle w:val="10"/>
                <w:rFonts w:hint="eastAsia" w:ascii="宋体" w:hAnsi="宋体" w:eastAsia="宋体" w:cs="宋体"/>
                <w:color w:val="auto"/>
                <w:sz w:val="21"/>
                <w:szCs w:val="21"/>
                <w:highlight w:val="none"/>
                <w:lang w:val="en-US" w:eastAsia="zh-CN" w:bidi="ar"/>
              </w:rPr>
              <w:t>刷新、</w:t>
            </w:r>
            <w:r>
              <w:rPr>
                <w:rStyle w:val="11"/>
                <w:rFonts w:hint="eastAsia" w:ascii="宋体" w:hAnsi="宋体" w:eastAsia="宋体" w:cs="宋体"/>
                <w:color w:val="auto"/>
                <w:sz w:val="21"/>
                <w:szCs w:val="21"/>
                <w:highlight w:val="none"/>
                <w:lang w:val="en-US" w:eastAsia="zh-CN" w:bidi="ar"/>
              </w:rPr>
              <w:t xml:space="preserve">D </w:t>
            </w:r>
            <w:r>
              <w:rPr>
                <w:rStyle w:val="10"/>
                <w:rFonts w:hint="eastAsia" w:ascii="宋体" w:hAnsi="宋体" w:eastAsia="宋体" w:cs="宋体"/>
                <w:color w:val="auto"/>
                <w:sz w:val="21"/>
                <w:szCs w:val="21"/>
                <w:highlight w:val="none"/>
                <w:lang w:val="en-US" w:eastAsia="zh-CN" w:bidi="ar"/>
              </w:rPr>
              <w:t>扩展、</w:t>
            </w:r>
            <w:r>
              <w:rPr>
                <w:rStyle w:val="11"/>
                <w:rFonts w:hint="eastAsia" w:ascii="宋体" w:hAnsi="宋体" w:eastAsia="宋体" w:cs="宋体"/>
                <w:color w:val="auto"/>
                <w:sz w:val="21"/>
                <w:szCs w:val="21"/>
                <w:highlight w:val="none"/>
                <w:lang w:val="en-US" w:eastAsia="zh-CN" w:bidi="ar"/>
              </w:rPr>
              <w:t xml:space="preserve">B/D </w:t>
            </w:r>
            <w:r>
              <w:rPr>
                <w:rStyle w:val="10"/>
                <w:rFonts w:hint="eastAsia" w:ascii="宋体" w:hAnsi="宋体" w:eastAsia="宋体" w:cs="宋体"/>
                <w:color w:val="auto"/>
                <w:sz w:val="21"/>
                <w:szCs w:val="21"/>
                <w:highlight w:val="none"/>
                <w:lang w:val="en-US" w:eastAsia="zh-CN" w:bidi="ar"/>
              </w:rPr>
              <w:t>扩展，局放及移位。</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31</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实时自动包络频谱并完成频谱测量计算。</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32</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扫描速率：相控阵探头，全视野，</w:t>
            </w:r>
            <w:r>
              <w:rPr>
                <w:rStyle w:val="11"/>
                <w:rFonts w:hint="eastAsia" w:ascii="宋体" w:hAnsi="宋体" w:eastAsia="宋体" w:cs="宋体"/>
                <w:color w:val="auto"/>
                <w:sz w:val="21"/>
                <w:szCs w:val="21"/>
                <w:highlight w:val="none"/>
                <w:lang w:val="en-US" w:eastAsia="zh-CN" w:bidi="ar"/>
              </w:rPr>
              <w:t>18 cm</w:t>
            </w:r>
            <w:r>
              <w:rPr>
                <w:rStyle w:val="10"/>
                <w:rFonts w:hint="eastAsia" w:ascii="宋体" w:hAnsi="宋体" w:eastAsia="宋体" w:cs="宋体"/>
                <w:color w:val="auto"/>
                <w:sz w:val="21"/>
                <w:szCs w:val="21"/>
                <w:highlight w:val="none"/>
                <w:lang w:val="en-US" w:eastAsia="zh-CN" w:bidi="ar"/>
              </w:rPr>
              <w:t>深度时，彩色扫描帧率</w:t>
            </w:r>
            <w:r>
              <w:rPr>
                <w:rStyle w:val="11"/>
                <w:rFonts w:hint="eastAsia" w:ascii="宋体" w:hAnsi="宋体" w:eastAsia="宋体" w:cs="宋体"/>
                <w:color w:val="auto"/>
                <w:sz w:val="21"/>
                <w:szCs w:val="21"/>
                <w:highlight w:val="none"/>
                <w:lang w:val="en-US" w:eastAsia="zh-CN" w:bidi="ar"/>
              </w:rPr>
              <w:t xml:space="preserve"> ³ 11</w:t>
            </w:r>
            <w:r>
              <w:rPr>
                <w:rStyle w:val="10"/>
                <w:rFonts w:hint="eastAsia" w:ascii="宋体" w:hAnsi="宋体" w:eastAsia="宋体" w:cs="宋体"/>
                <w:color w:val="auto"/>
                <w:sz w:val="21"/>
                <w:szCs w:val="21"/>
                <w:highlight w:val="none"/>
                <w:lang w:val="en-US" w:eastAsia="zh-CN" w:bidi="ar"/>
              </w:rPr>
              <w:t>帧</w:t>
            </w:r>
            <w:r>
              <w:rPr>
                <w:rStyle w:val="11"/>
                <w:rFonts w:hint="eastAsia" w:ascii="宋体" w:hAnsi="宋体" w:eastAsia="宋体" w:cs="宋体"/>
                <w:color w:val="auto"/>
                <w:sz w:val="21"/>
                <w:szCs w:val="21"/>
                <w:highlight w:val="none"/>
                <w:lang w:val="en-US" w:eastAsia="zh-CN" w:bidi="ar"/>
              </w:rPr>
              <w:t>/</w:t>
            </w:r>
            <w:r>
              <w:rPr>
                <w:rStyle w:val="10"/>
                <w:rFonts w:hint="eastAsia" w:ascii="宋体" w:hAnsi="宋体" w:eastAsia="宋体" w:cs="宋体"/>
                <w:color w:val="auto"/>
                <w:sz w:val="21"/>
                <w:szCs w:val="21"/>
                <w:highlight w:val="none"/>
                <w:lang w:val="en-US" w:eastAsia="zh-CN" w:bidi="ar"/>
              </w:rPr>
              <w:t>秒。</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33</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彩色显示速度：最低平均血流显示速度≤</w:t>
            </w:r>
            <w:r>
              <w:rPr>
                <w:rStyle w:val="11"/>
                <w:rFonts w:hint="eastAsia" w:ascii="宋体" w:hAnsi="宋体" w:eastAsia="宋体" w:cs="宋体"/>
                <w:color w:val="auto"/>
                <w:sz w:val="21"/>
                <w:szCs w:val="21"/>
                <w:highlight w:val="none"/>
                <w:lang w:val="en-US" w:eastAsia="zh-CN" w:bidi="ar"/>
              </w:rPr>
              <w:t>5mm/s</w:t>
            </w:r>
            <w:r>
              <w:rPr>
                <w:rStyle w:val="10"/>
                <w:rFonts w:hint="eastAsia" w:ascii="宋体" w:hAnsi="宋体" w:eastAsia="宋体" w:cs="宋体"/>
                <w:color w:val="auto"/>
                <w:sz w:val="21"/>
                <w:szCs w:val="21"/>
                <w:highlight w:val="none"/>
                <w:lang w:val="en-US" w:eastAsia="zh-CN" w:bidi="ar"/>
              </w:rPr>
              <w:t>（非噪声信号）。</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34</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显示控制：零位移动、黑白与彩色比较、彩色对比。</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35</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显示位置调整：线阵扫描感兴趣的图像范围：</w:t>
            </w:r>
            <w:r>
              <w:rPr>
                <w:rStyle w:val="11"/>
                <w:rFonts w:hint="eastAsia" w:ascii="宋体" w:hAnsi="宋体" w:eastAsia="宋体" w:cs="宋体"/>
                <w:color w:val="auto"/>
                <w:sz w:val="21"/>
                <w:szCs w:val="21"/>
                <w:highlight w:val="none"/>
                <w:lang w:val="en-US" w:eastAsia="zh-CN" w:bidi="ar"/>
              </w:rPr>
              <w:t>-20°</w:t>
            </w:r>
            <w:r>
              <w:rPr>
                <w:rStyle w:val="10"/>
                <w:rFonts w:hint="eastAsia" w:ascii="宋体" w:hAnsi="宋体" w:eastAsia="宋体" w:cs="宋体"/>
                <w:color w:val="auto"/>
                <w:sz w:val="21"/>
                <w:szCs w:val="21"/>
                <w:highlight w:val="none"/>
                <w:lang w:val="en-US" w:eastAsia="zh-CN" w:bidi="ar"/>
              </w:rPr>
              <w:t>～</w:t>
            </w:r>
            <w:r>
              <w:rPr>
                <w:rStyle w:val="11"/>
                <w:rFonts w:hint="eastAsia" w:ascii="宋体" w:hAnsi="宋体" w:eastAsia="宋体" w:cs="宋体"/>
                <w:color w:val="auto"/>
                <w:sz w:val="21"/>
                <w:szCs w:val="21"/>
                <w:highlight w:val="none"/>
                <w:lang w:val="en-US" w:eastAsia="zh-CN" w:bidi="ar"/>
              </w:rPr>
              <w:t xml:space="preserve"> +20°</w:t>
            </w:r>
            <w:r>
              <w:rPr>
                <w:rStyle w:val="10"/>
                <w:rFonts w:hint="eastAsia" w:ascii="宋体" w:hAnsi="宋体" w:eastAsia="宋体" w:cs="宋体"/>
                <w:color w:val="auto"/>
                <w:sz w:val="21"/>
                <w:szCs w:val="21"/>
                <w:highlight w:val="none"/>
                <w:lang w:val="en-US" w:eastAsia="zh-CN" w:bidi="ar"/>
              </w:rPr>
              <w:t>。</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r>
        <w:tblPrEx>
          <w:shd w:val="clear" w:color="auto" w:fill="auto"/>
          <w:tblCellMar>
            <w:top w:w="0" w:type="dxa"/>
            <w:left w:w="0" w:type="dxa"/>
            <w:bottom w:w="0" w:type="dxa"/>
            <w:right w:w="0" w:type="dxa"/>
          </w:tblCellMar>
        </w:tblPrEx>
        <w:trPr>
          <w:trHeight w:val="454"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i w:val="0"/>
                <w:color w:val="auto"/>
                <w:sz w:val="21"/>
                <w:szCs w:val="21"/>
                <w:highlight w:val="none"/>
                <w:u w:val="none"/>
              </w:rPr>
            </w:pPr>
          </w:p>
        </w:tc>
        <w:tc>
          <w:tcPr>
            <w:tcW w:w="32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36</w:t>
            </w:r>
          </w:p>
        </w:tc>
        <w:tc>
          <w:tcPr>
            <w:tcW w:w="7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auto"/>
                <w:sz w:val="21"/>
                <w:szCs w:val="21"/>
                <w:highlight w:val="none"/>
                <w:u w:val="none"/>
              </w:rPr>
            </w:pPr>
            <w:r>
              <w:rPr>
                <w:rStyle w:val="10"/>
                <w:rFonts w:hint="eastAsia" w:ascii="宋体" w:hAnsi="宋体" w:eastAsia="宋体" w:cs="宋体"/>
                <w:color w:val="auto"/>
                <w:sz w:val="21"/>
                <w:szCs w:val="21"/>
                <w:highlight w:val="none"/>
                <w:lang w:val="en-US" w:eastAsia="zh-CN" w:bidi="ar"/>
              </w:rPr>
              <w:t>腹部探头频带（</w:t>
            </w:r>
            <w:r>
              <w:rPr>
                <w:rStyle w:val="11"/>
                <w:rFonts w:hint="eastAsia" w:ascii="宋体" w:hAnsi="宋体" w:eastAsia="宋体" w:cs="宋体"/>
                <w:color w:val="auto"/>
                <w:sz w:val="21"/>
                <w:szCs w:val="21"/>
                <w:highlight w:val="none"/>
                <w:lang w:val="en-US" w:eastAsia="zh-CN" w:bidi="ar"/>
              </w:rPr>
              <w:t>2.0-6.0MHz</w:t>
            </w:r>
            <w:r>
              <w:rPr>
                <w:rStyle w:val="10"/>
                <w:rFonts w:hint="eastAsia" w:ascii="宋体" w:hAnsi="宋体" w:eastAsia="宋体" w:cs="宋体"/>
                <w:color w:val="auto"/>
                <w:sz w:val="21"/>
                <w:szCs w:val="21"/>
                <w:highlight w:val="none"/>
                <w:lang w:val="en-US" w:eastAsia="zh-CN" w:bidi="ar"/>
              </w:rPr>
              <w:t>）</w:t>
            </w:r>
            <w:r>
              <w:rPr>
                <w:rStyle w:val="11"/>
                <w:rFonts w:hint="eastAsia" w:ascii="宋体" w:hAnsi="宋体" w:eastAsia="宋体" w:cs="宋体"/>
                <w:color w:val="auto"/>
                <w:sz w:val="21"/>
                <w:szCs w:val="21"/>
                <w:highlight w:val="none"/>
                <w:lang w:val="en-US" w:eastAsia="zh-CN" w:bidi="ar"/>
              </w:rPr>
              <w:t>,</w:t>
            </w:r>
            <w:r>
              <w:rPr>
                <w:rStyle w:val="10"/>
                <w:rFonts w:hint="eastAsia" w:ascii="宋体" w:hAnsi="宋体" w:eastAsia="宋体" w:cs="宋体"/>
                <w:color w:val="auto"/>
                <w:sz w:val="21"/>
                <w:szCs w:val="21"/>
                <w:highlight w:val="none"/>
                <w:lang w:val="en-US" w:eastAsia="zh-CN" w:bidi="ar"/>
              </w:rPr>
              <w:t>线阵探头频带（</w:t>
            </w:r>
            <w:r>
              <w:rPr>
                <w:rStyle w:val="11"/>
                <w:rFonts w:hint="eastAsia" w:ascii="宋体" w:hAnsi="宋体" w:eastAsia="宋体" w:cs="宋体"/>
                <w:color w:val="auto"/>
                <w:sz w:val="21"/>
                <w:szCs w:val="21"/>
                <w:highlight w:val="none"/>
                <w:lang w:val="en-US" w:eastAsia="zh-CN" w:bidi="ar"/>
              </w:rPr>
              <w:t>4.0-12.0MHz</w:t>
            </w:r>
            <w:r>
              <w:rPr>
                <w:rStyle w:val="10"/>
                <w:rFonts w:hint="eastAsia" w:ascii="宋体" w:hAnsi="宋体" w:eastAsia="宋体" w:cs="宋体"/>
                <w:color w:val="auto"/>
                <w:sz w:val="21"/>
                <w:szCs w:val="21"/>
                <w:highlight w:val="none"/>
                <w:lang w:val="en-US" w:eastAsia="zh-CN" w:bidi="ar"/>
              </w:rPr>
              <w:t>）</w:t>
            </w:r>
            <w:r>
              <w:rPr>
                <w:rStyle w:val="11"/>
                <w:rFonts w:hint="eastAsia" w:ascii="宋体" w:hAnsi="宋体" w:eastAsia="宋体" w:cs="宋体"/>
                <w:color w:val="auto"/>
                <w:sz w:val="21"/>
                <w:szCs w:val="21"/>
                <w:highlight w:val="none"/>
                <w:lang w:val="en-US" w:eastAsia="zh-CN" w:bidi="ar"/>
              </w:rPr>
              <w:t>,</w:t>
            </w:r>
            <w:r>
              <w:rPr>
                <w:rStyle w:val="10"/>
                <w:rFonts w:hint="eastAsia" w:ascii="宋体" w:hAnsi="宋体" w:eastAsia="宋体" w:cs="宋体"/>
                <w:color w:val="auto"/>
                <w:sz w:val="21"/>
                <w:szCs w:val="21"/>
                <w:highlight w:val="none"/>
                <w:lang w:val="en-US" w:eastAsia="zh-CN" w:bidi="ar"/>
              </w:rPr>
              <w:t>腔内探头频带（</w:t>
            </w:r>
            <w:r>
              <w:rPr>
                <w:rStyle w:val="11"/>
                <w:rFonts w:hint="eastAsia" w:ascii="宋体" w:hAnsi="宋体" w:eastAsia="宋体" w:cs="宋体"/>
                <w:color w:val="auto"/>
                <w:sz w:val="21"/>
                <w:szCs w:val="21"/>
                <w:highlight w:val="none"/>
                <w:lang w:val="en-US" w:eastAsia="zh-CN" w:bidi="ar"/>
              </w:rPr>
              <w:t>4.0-9.0MHz</w:t>
            </w:r>
            <w:r>
              <w:rPr>
                <w:rStyle w:val="10"/>
                <w:rFonts w:hint="eastAsia" w:ascii="宋体" w:hAnsi="宋体" w:eastAsia="宋体" w:cs="宋体"/>
                <w:color w:val="auto"/>
                <w:sz w:val="21"/>
                <w:szCs w:val="21"/>
                <w:highlight w:val="none"/>
                <w:lang w:val="en-US" w:eastAsia="zh-CN" w:bidi="ar"/>
              </w:rPr>
              <w:t>）。</w:t>
            </w: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0"/>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rPr>
              <w:t>0.7</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b/>
          <w:bCs/>
          <w:color w:val="auto"/>
          <w:sz w:val="24"/>
          <w:szCs w:val="24"/>
          <w:highlight w:val="none"/>
          <w:lang w:val="en-US" w:eastAsia="zh-CN"/>
        </w:rPr>
      </w:pP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采购包2：</w:t>
      </w:r>
      <w:r>
        <w:rPr>
          <w:rFonts w:hint="eastAsia" w:ascii="宋体" w:hAnsi="宋体" w:eastAsia="宋体" w:cs="宋体"/>
          <w:b/>
          <w:bCs/>
          <w:color w:val="auto"/>
          <w:sz w:val="24"/>
          <w:szCs w:val="24"/>
          <w:highlight w:val="none"/>
        </w:rPr>
        <w:t>彩色多普勒超声（盆底）</w:t>
      </w:r>
    </w:p>
    <w:tbl>
      <w:tblPr>
        <w:tblStyle w:val="5"/>
        <w:tblW w:w="95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586"/>
        <w:gridCol w:w="7397"/>
        <w:gridCol w:w="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参数类型</w:t>
            </w: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7397"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具体内容</w:t>
            </w:r>
          </w:p>
        </w:tc>
        <w:tc>
          <w:tcPr>
            <w:tcW w:w="8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必备参数</w:t>
            </w: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397"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妇产机（偏盆底）2台：</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主要配置：主机2台，配置腹部探头2把，高频探头2把，腹部容积探头2把，腔内容积探头2把，线阵探头2把，（一线一凸）双平面探头2把；</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配套设备：超声检查床、超声检查椅、打印机、不间断电源、电脑各2套。</w:t>
            </w:r>
          </w:p>
        </w:tc>
        <w:tc>
          <w:tcPr>
            <w:tcW w:w="8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64" w:type="dxa"/>
            <w:vMerge w:val="restart"/>
            <w:tcBorders>
              <w:top w:val="single" w:color="auto" w:sz="4" w:space="0"/>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重点参数</w:t>
            </w: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397"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支持盆底超声智能解决方案，支持盆底检查中-前中后盆腔的自动测量，支持腹部、腔内、耻骨联合中轴线等三大坐标系，结合妇产场景自动容积成像功能，可一键实现从二维盆底切面至容积全自动识别评估肛提肌裂孔、肛门括约肌及自动测量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支持腹部容积探头与腔内容积探头</w:t>
            </w:r>
            <w:r>
              <w:rPr>
                <w:rFonts w:hint="eastAsia" w:ascii="宋体" w:hAnsi="宋体" w:eastAsia="宋体" w:cs="宋体"/>
                <w:color w:val="auto"/>
                <w:sz w:val="21"/>
                <w:szCs w:val="21"/>
                <w:highlight w:val="none"/>
                <w:lang w:eastAsia="zh-CN"/>
              </w:rPr>
              <w:t>。</w:t>
            </w:r>
          </w:p>
        </w:tc>
        <w:tc>
          <w:tcPr>
            <w:tcW w:w="803"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7397"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剪切波定量弹性成像，具备组织硬度定量分析软件（支持多比值分析、柱状图分析）弹性定量的参数包括杨氏模量值、剪切模量值、剪切波速度，定量组织的硬度信息</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具有质控稳定性指数、质控图、质控指数等质控形</w:t>
            </w:r>
            <w:r>
              <w:rPr>
                <w:rFonts w:hint="eastAsia" w:ascii="宋体" w:hAnsi="宋体" w:eastAsia="宋体" w:cs="宋体"/>
                <w:b w:val="0"/>
                <w:bCs w:val="0"/>
                <w:color w:val="auto"/>
                <w:sz w:val="21"/>
                <w:szCs w:val="21"/>
                <w:highlight w:val="none"/>
                <w:lang w:val="en-US" w:eastAsia="zh-CN"/>
              </w:rPr>
              <w:t>式</w:t>
            </w:r>
            <w:r>
              <w:rPr>
                <w:rFonts w:hint="eastAsia" w:ascii="宋体" w:hAnsi="宋体" w:eastAsia="宋体" w:cs="宋体"/>
                <w:b/>
                <w:bCs/>
                <w:color w:val="auto"/>
                <w:sz w:val="21"/>
                <w:szCs w:val="21"/>
                <w:highlight w:val="none"/>
                <w:lang w:val="en-US" w:eastAsia="zh-CN"/>
              </w:rPr>
              <w:t>（提供技术白皮书或图片证明）。</w:t>
            </w:r>
          </w:p>
        </w:tc>
        <w:tc>
          <w:tcPr>
            <w:tcW w:w="803"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7397"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子宫内膜自动成像与容积分析功能，结合妇产场景自动容积成像功能，可自动识别并呈现子宫内膜冠状面成像、自动进行子宫内膜容积和厚度测量。</w:t>
            </w:r>
          </w:p>
        </w:tc>
        <w:tc>
          <w:tcPr>
            <w:tcW w:w="803"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4" w:type="dxa"/>
            <w:vMerge w:val="restart"/>
            <w:tcBorders>
              <w:top w:val="single" w:color="auto" w:sz="4" w:space="0"/>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一般参数</w:t>
            </w: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397"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全域动态聚焦技术，基于全息域数据的连续发射聚焦技术，提升图像均匀性</w:t>
            </w:r>
            <w:r>
              <w:rPr>
                <w:rFonts w:hint="eastAsia" w:ascii="宋体" w:hAnsi="宋体" w:eastAsia="宋体" w:cs="宋体"/>
                <w:color w:val="auto"/>
                <w:sz w:val="21"/>
                <w:szCs w:val="21"/>
                <w:highlight w:val="none"/>
                <w:lang w:eastAsia="zh-CN"/>
              </w:rPr>
              <w:t>。</w:t>
            </w:r>
          </w:p>
        </w:tc>
        <w:tc>
          <w:tcPr>
            <w:tcW w:w="803"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7397"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探头接口≥5个</w:t>
            </w:r>
            <w:r>
              <w:rPr>
                <w:rFonts w:hint="eastAsia" w:ascii="宋体" w:hAnsi="宋体" w:eastAsia="宋体" w:cs="宋体"/>
                <w:color w:val="auto"/>
                <w:sz w:val="21"/>
                <w:szCs w:val="21"/>
                <w:highlight w:val="none"/>
                <w:lang w:eastAsia="zh-CN"/>
              </w:rPr>
              <w:t>。</w:t>
            </w:r>
          </w:p>
        </w:tc>
        <w:tc>
          <w:tcPr>
            <w:tcW w:w="803"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7397"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显示器≥23.8英寸高分辨率彩色液晶显示器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触摸屏≥13.3英寸彩色，触摸屏角度可以独立于主机调节</w:t>
            </w:r>
            <w:r>
              <w:rPr>
                <w:rFonts w:hint="eastAsia" w:ascii="宋体" w:hAnsi="宋体" w:eastAsia="宋体" w:cs="宋体"/>
                <w:color w:val="auto"/>
                <w:sz w:val="21"/>
                <w:szCs w:val="21"/>
                <w:highlight w:val="none"/>
                <w:lang w:eastAsia="zh-CN"/>
              </w:rPr>
              <w:t>。</w:t>
            </w:r>
          </w:p>
        </w:tc>
        <w:tc>
          <w:tcPr>
            <w:tcW w:w="803"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7397"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具有病灶周边浸润区的环形定量工具，同时需具有实体的专用的按键调节精准控制，环形的大小分级分档，可视可调</w:t>
            </w:r>
            <w:r>
              <w:rPr>
                <w:rFonts w:hint="eastAsia" w:ascii="宋体" w:hAnsi="宋体" w:eastAsia="宋体" w:cs="宋体"/>
                <w:color w:val="auto"/>
                <w:sz w:val="21"/>
                <w:szCs w:val="21"/>
                <w:highlight w:val="none"/>
                <w:lang w:eastAsia="zh-CN"/>
              </w:rPr>
              <w:t>。</w:t>
            </w:r>
          </w:p>
        </w:tc>
        <w:tc>
          <w:tcPr>
            <w:tcW w:w="803"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7397"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具有颅内容积自动测量功能，可自动显示胎儿颅内立体轮廓，并自动获取胎儿颅内容积测量数据</w:t>
            </w:r>
            <w:r>
              <w:rPr>
                <w:rFonts w:hint="eastAsia" w:ascii="宋体" w:hAnsi="宋体" w:eastAsia="宋体" w:cs="宋体"/>
                <w:color w:val="auto"/>
                <w:sz w:val="21"/>
                <w:szCs w:val="21"/>
                <w:highlight w:val="none"/>
                <w:lang w:eastAsia="zh-CN"/>
              </w:rPr>
              <w:t>。</w:t>
            </w:r>
          </w:p>
        </w:tc>
        <w:tc>
          <w:tcPr>
            <w:tcW w:w="803"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7397"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具有剪切波弹性成像功能,动态显示二维剪切波弹性成像图，支持凸阵探头、线阵探头和腔内探头、双平面探头（一凸一线</w:t>
            </w:r>
            <w:r>
              <w:rPr>
                <w:rFonts w:hint="eastAsia" w:ascii="宋体" w:hAnsi="宋体" w:eastAsia="宋体" w:cs="宋体"/>
                <w:color w:val="auto"/>
                <w:sz w:val="21"/>
                <w:szCs w:val="21"/>
                <w:highlight w:val="none"/>
                <w:lang w:val="en-US"/>
              </w:rPr>
              <w:t>）</w:t>
            </w:r>
            <w:r>
              <w:rPr>
                <w:rFonts w:hint="eastAsia" w:ascii="宋体" w:hAnsi="宋体" w:eastAsia="宋体" w:cs="宋体"/>
                <w:b/>
                <w:bCs/>
                <w:color w:val="auto"/>
                <w:sz w:val="21"/>
                <w:szCs w:val="21"/>
                <w:highlight w:val="none"/>
                <w:lang w:val="en-US"/>
              </w:rPr>
              <w:t>（提供技书白皮书或</w:t>
            </w:r>
            <w:r>
              <w:rPr>
                <w:rFonts w:hint="eastAsia" w:ascii="宋体" w:hAnsi="宋体" w:eastAsia="宋体" w:cs="宋体"/>
                <w:b/>
                <w:bCs/>
                <w:color w:val="auto"/>
                <w:sz w:val="21"/>
                <w:szCs w:val="21"/>
                <w:highlight w:val="none"/>
                <w:lang w:val="en-US" w:eastAsia="zh-CN"/>
              </w:rPr>
              <w:t>国家认可的检测机构出具的</w:t>
            </w:r>
            <w:r>
              <w:rPr>
                <w:rFonts w:hint="eastAsia" w:ascii="宋体" w:hAnsi="宋体" w:eastAsia="宋体" w:cs="宋体"/>
                <w:b/>
                <w:bCs/>
                <w:color w:val="auto"/>
                <w:sz w:val="21"/>
                <w:szCs w:val="21"/>
                <w:highlight w:val="none"/>
                <w:lang w:val="en-US"/>
              </w:rPr>
              <w:t>检测报告</w:t>
            </w:r>
            <w:r>
              <w:rPr>
                <w:rFonts w:hint="eastAsia" w:ascii="宋体" w:hAnsi="宋体" w:eastAsia="宋体" w:cs="宋体"/>
                <w:b/>
                <w:bCs/>
                <w:color w:val="auto"/>
                <w:sz w:val="21"/>
                <w:szCs w:val="21"/>
                <w:highlight w:val="none"/>
                <w:lang w:val="en-US" w:eastAsia="zh-CN"/>
              </w:rPr>
              <w:t>复印件佐证</w:t>
            </w:r>
            <w:r>
              <w:rPr>
                <w:rFonts w:hint="eastAsia" w:ascii="宋体" w:hAnsi="宋体" w:eastAsia="宋体" w:cs="宋体"/>
                <w:b/>
                <w:bCs/>
                <w:color w:val="auto"/>
                <w:sz w:val="21"/>
                <w:szCs w:val="21"/>
                <w:highlight w:val="none"/>
                <w:lang w:val="en-US"/>
              </w:rPr>
              <w:t>）</w:t>
            </w:r>
            <w:r>
              <w:rPr>
                <w:rFonts w:hint="eastAsia" w:ascii="宋体" w:hAnsi="宋体" w:eastAsia="宋体" w:cs="宋体"/>
                <w:b/>
                <w:bCs/>
                <w:color w:val="auto"/>
                <w:sz w:val="21"/>
                <w:szCs w:val="21"/>
                <w:highlight w:val="none"/>
                <w:lang w:val="en-US" w:eastAsia="zh-CN"/>
              </w:rPr>
              <w:t>。</w:t>
            </w:r>
          </w:p>
        </w:tc>
        <w:tc>
          <w:tcPr>
            <w:tcW w:w="803"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7397"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具有高清微视血流成像技术，可高清显示超微细血流及超低速血流信号</w:t>
            </w:r>
            <w:r>
              <w:rPr>
                <w:rFonts w:hint="eastAsia" w:ascii="宋体" w:hAnsi="宋体" w:eastAsia="宋体" w:cs="宋体"/>
                <w:color w:val="auto"/>
                <w:sz w:val="21"/>
                <w:szCs w:val="21"/>
                <w:highlight w:val="none"/>
                <w:lang w:eastAsia="zh-CN"/>
              </w:rPr>
              <w:t>。</w:t>
            </w:r>
          </w:p>
        </w:tc>
        <w:tc>
          <w:tcPr>
            <w:tcW w:w="803"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7397"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支持造影功能，要求支持腹部探头、浅表探头。</w:t>
            </w:r>
          </w:p>
        </w:tc>
        <w:tc>
          <w:tcPr>
            <w:tcW w:w="803"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7397"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二维立体血流成像技术，二维探头即可呈现立体血流形态。</w:t>
            </w:r>
          </w:p>
        </w:tc>
        <w:tc>
          <w:tcPr>
            <w:tcW w:w="803"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7397"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组织多普勒成像技术</w:t>
            </w:r>
            <w:r>
              <w:rPr>
                <w:rFonts w:hint="eastAsia" w:ascii="宋体" w:hAnsi="宋体" w:eastAsia="宋体" w:cs="宋体"/>
                <w:color w:val="auto"/>
                <w:sz w:val="21"/>
                <w:szCs w:val="21"/>
                <w:highlight w:val="none"/>
                <w:lang w:eastAsia="zh-CN"/>
              </w:rPr>
              <w:t>。</w:t>
            </w:r>
          </w:p>
        </w:tc>
        <w:tc>
          <w:tcPr>
            <w:tcW w:w="803"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7397"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宽景成像技术</w:t>
            </w:r>
            <w:r>
              <w:rPr>
                <w:rFonts w:hint="eastAsia" w:ascii="宋体" w:hAnsi="宋体" w:eastAsia="宋体" w:cs="宋体"/>
                <w:color w:val="auto"/>
                <w:sz w:val="21"/>
                <w:szCs w:val="21"/>
                <w:highlight w:val="none"/>
                <w:lang w:eastAsia="zh-CN"/>
              </w:rPr>
              <w:t>。</w:t>
            </w:r>
          </w:p>
        </w:tc>
        <w:tc>
          <w:tcPr>
            <w:tcW w:w="803"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c>
          <w:tcPr>
            <w:tcW w:w="7397"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硬盘容量≥</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T</w:t>
            </w:r>
            <w:r>
              <w:rPr>
                <w:rFonts w:hint="eastAsia" w:ascii="宋体" w:hAnsi="宋体" w:eastAsia="宋体" w:cs="宋体"/>
                <w:color w:val="auto"/>
                <w:sz w:val="21"/>
                <w:szCs w:val="21"/>
                <w:highlight w:val="none"/>
                <w:lang w:val="en-US" w:eastAsia="zh-CN"/>
              </w:rPr>
              <w:t>B。</w:t>
            </w:r>
          </w:p>
        </w:tc>
        <w:tc>
          <w:tcPr>
            <w:tcW w:w="803"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7397"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支持小儿髋关节自动测量功能</w:t>
            </w:r>
            <w:r>
              <w:rPr>
                <w:rFonts w:hint="eastAsia" w:ascii="宋体" w:hAnsi="宋体" w:eastAsia="宋体" w:cs="宋体"/>
                <w:color w:val="auto"/>
                <w:sz w:val="21"/>
                <w:szCs w:val="21"/>
                <w:highlight w:val="none"/>
                <w:lang w:eastAsia="zh-CN"/>
              </w:rPr>
              <w:t>。</w:t>
            </w:r>
          </w:p>
        </w:tc>
        <w:tc>
          <w:tcPr>
            <w:tcW w:w="803"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7397"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自动NT测量技术</w:t>
            </w:r>
            <w:r>
              <w:rPr>
                <w:rFonts w:hint="eastAsia" w:ascii="宋体" w:hAnsi="宋体" w:eastAsia="宋体" w:cs="宋体"/>
                <w:color w:val="auto"/>
                <w:sz w:val="21"/>
                <w:szCs w:val="21"/>
                <w:highlight w:val="none"/>
                <w:lang w:eastAsia="zh-CN"/>
              </w:rPr>
              <w:t>。</w:t>
            </w:r>
          </w:p>
        </w:tc>
        <w:tc>
          <w:tcPr>
            <w:tcW w:w="803"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7397"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支持应变式弹性成像</w:t>
            </w:r>
            <w:r>
              <w:rPr>
                <w:rFonts w:hint="eastAsia" w:ascii="宋体" w:hAnsi="宋体" w:eastAsia="宋体" w:cs="宋体"/>
                <w:color w:val="auto"/>
                <w:sz w:val="21"/>
                <w:szCs w:val="21"/>
                <w:highlight w:val="none"/>
                <w:lang w:eastAsia="zh-CN"/>
              </w:rPr>
              <w:t>。</w:t>
            </w:r>
          </w:p>
        </w:tc>
        <w:tc>
          <w:tcPr>
            <w:tcW w:w="803"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p>
        </w:tc>
        <w:tc>
          <w:tcPr>
            <w:tcW w:w="7397"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增益调节：TGC增益补偿≥8段， LGC侧向增益补偿≥8段，B/M可独立调节</w:t>
            </w:r>
            <w:r>
              <w:rPr>
                <w:rFonts w:hint="eastAsia" w:ascii="宋体" w:hAnsi="宋体" w:eastAsia="宋体" w:cs="宋体"/>
                <w:color w:val="auto"/>
                <w:sz w:val="21"/>
                <w:szCs w:val="21"/>
                <w:highlight w:val="none"/>
                <w:lang w:eastAsia="zh-CN"/>
              </w:rPr>
              <w:t>。</w:t>
            </w:r>
          </w:p>
        </w:tc>
        <w:tc>
          <w:tcPr>
            <w:tcW w:w="803"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w:t>
            </w:r>
          </w:p>
        </w:tc>
        <w:tc>
          <w:tcPr>
            <w:tcW w:w="7397"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宽景成像支持凸阵探头、线阵探头</w:t>
            </w:r>
            <w:r>
              <w:rPr>
                <w:rFonts w:hint="eastAsia" w:ascii="宋体" w:hAnsi="宋体" w:eastAsia="宋体" w:cs="宋体"/>
                <w:color w:val="auto"/>
                <w:sz w:val="21"/>
                <w:szCs w:val="21"/>
                <w:highlight w:val="none"/>
                <w:lang w:eastAsia="zh-CN"/>
              </w:rPr>
              <w:t>。</w:t>
            </w:r>
          </w:p>
        </w:tc>
        <w:tc>
          <w:tcPr>
            <w:tcW w:w="803"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w:t>
            </w:r>
          </w:p>
        </w:tc>
        <w:tc>
          <w:tcPr>
            <w:tcW w:w="7397"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具备造影</w:t>
            </w:r>
            <w:r>
              <w:rPr>
                <w:rFonts w:hint="eastAsia" w:ascii="宋体" w:hAnsi="宋体" w:eastAsia="宋体" w:cs="宋体"/>
                <w:color w:val="auto"/>
                <w:sz w:val="21"/>
                <w:szCs w:val="21"/>
                <w:highlight w:val="none"/>
                <w:lang w:val="en-US" w:eastAsia="zh-CN"/>
              </w:rPr>
              <w:t>参数成像</w:t>
            </w:r>
            <w:r>
              <w:rPr>
                <w:rFonts w:hint="eastAsia" w:ascii="宋体" w:hAnsi="宋体" w:eastAsia="宋体" w:cs="宋体"/>
                <w:color w:val="auto"/>
                <w:sz w:val="21"/>
                <w:szCs w:val="21"/>
                <w:highlight w:val="none"/>
              </w:rPr>
              <w:t>功能，使用不同颜色标记造影剂到达时间，方便观察并比较病灶及组织的造影剂灌注特点，可对彩色和时间进行设置</w:t>
            </w:r>
            <w:r>
              <w:rPr>
                <w:rFonts w:hint="eastAsia" w:ascii="宋体" w:hAnsi="宋体" w:eastAsia="宋体" w:cs="宋体"/>
                <w:color w:val="auto"/>
                <w:sz w:val="21"/>
                <w:szCs w:val="21"/>
                <w:highlight w:val="none"/>
                <w:lang w:eastAsia="zh-CN"/>
              </w:rPr>
              <w:t>。</w:t>
            </w:r>
          </w:p>
        </w:tc>
        <w:tc>
          <w:tcPr>
            <w:tcW w:w="803"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w:t>
            </w:r>
          </w:p>
        </w:tc>
        <w:tc>
          <w:tcPr>
            <w:tcW w:w="7397"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耦合剂加热器</w:t>
            </w:r>
            <w:r>
              <w:rPr>
                <w:rFonts w:hint="eastAsia" w:ascii="宋体" w:hAnsi="宋体" w:eastAsia="宋体" w:cs="宋体"/>
                <w:color w:val="auto"/>
                <w:sz w:val="21"/>
                <w:szCs w:val="21"/>
                <w:highlight w:val="none"/>
                <w:lang w:eastAsia="zh-CN"/>
              </w:rPr>
              <w:t>。</w:t>
            </w:r>
          </w:p>
        </w:tc>
        <w:tc>
          <w:tcPr>
            <w:tcW w:w="803"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jc w:val="center"/>
        </w:trPr>
        <w:tc>
          <w:tcPr>
            <w:tcW w:w="764"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p>
        </w:tc>
        <w:tc>
          <w:tcPr>
            <w:tcW w:w="58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7397"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具有造影弹性联合分析功能,具有混合模式，可同时显示B模式图像和造影与剪切波的混合图像，实现灌注与弹性图像的同屏显示，用于微循环灌注和弹性评估分析</w:t>
            </w:r>
            <w:r>
              <w:rPr>
                <w:rFonts w:hint="eastAsia" w:ascii="宋体" w:hAnsi="宋体" w:eastAsia="宋体" w:cs="宋体"/>
                <w:color w:val="auto"/>
                <w:sz w:val="21"/>
                <w:szCs w:val="21"/>
                <w:highlight w:val="none"/>
                <w:lang w:eastAsia="zh-CN"/>
              </w:rPr>
              <w:t>。</w:t>
            </w:r>
          </w:p>
        </w:tc>
        <w:tc>
          <w:tcPr>
            <w:tcW w:w="803" w:type="dxa"/>
            <w:tcBorders>
              <w:top w:val="single" w:color="auto" w:sz="4" w:space="0"/>
              <w:left w:val="single" w:color="auto" w:sz="4" w:space="0"/>
              <w:right w:val="single" w:color="auto" w:sz="4" w:space="0"/>
            </w:tcBorders>
            <w:noWrap/>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2.55</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b/>
          <w:color w:val="auto"/>
          <w:sz w:val="24"/>
          <w:szCs w:val="24"/>
          <w:highlight w:val="none"/>
        </w:rPr>
      </w:pP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采购包3</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彩色多普勒超声（全身机）</w:t>
      </w:r>
    </w:p>
    <w:tbl>
      <w:tblPr>
        <w:tblStyle w:val="5"/>
        <w:tblW w:w="87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543"/>
        <w:gridCol w:w="6507"/>
        <w:gridCol w:w="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参数类型</w:t>
            </w:r>
          </w:p>
        </w:tc>
        <w:tc>
          <w:tcPr>
            <w:tcW w:w="54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6507"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具体内容</w:t>
            </w:r>
          </w:p>
        </w:tc>
        <w:tc>
          <w:tcPr>
            <w:tcW w:w="72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973" w:type="dxa"/>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必备参数</w:t>
            </w:r>
          </w:p>
        </w:tc>
        <w:tc>
          <w:tcPr>
            <w:tcW w:w="543"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65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全身机1台：</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主要配置：主机1台，配置腹部探头1把、腔内容积探头1把、线阵探头1把、成人心脏探头1把、高频线阵探头1把</w:t>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(4) 配套设备：超声检查床、超声检查椅、打印机、不间断电源、电脑各1套</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973" w:type="dxa"/>
            <w:vMerge w:val="restart"/>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重点参数</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65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影像互联功能：超声主机可与手机或平板电脑等移动终端实现无线连接，移动端拍摄的图片可瞬时上传至超声设备，并且图片不会存储在移动终端，单幅显示或与超声、超声动态图像同屏对照显示。</w:t>
            </w:r>
            <w:r>
              <w:rPr>
                <w:rFonts w:hint="eastAsia" w:ascii="宋体" w:hAnsi="宋体" w:eastAsia="宋体" w:cs="宋体"/>
                <w:b/>
                <w:bCs/>
                <w:color w:val="auto"/>
                <w:sz w:val="21"/>
                <w:szCs w:val="21"/>
                <w:highlight w:val="none"/>
              </w:rPr>
              <w:t>（须提供技术白皮书或证明图片）</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973"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65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扫描深度≥50cm</w:t>
            </w:r>
            <w:r>
              <w:rPr>
                <w:rFonts w:hint="eastAsia" w:ascii="宋体" w:hAnsi="宋体" w:eastAsia="宋体" w:cs="宋体"/>
                <w:color w:val="auto"/>
                <w:sz w:val="21"/>
                <w:szCs w:val="21"/>
                <w:highlight w:val="none"/>
                <w:lang w:eastAsia="zh-CN"/>
              </w:rPr>
              <w:t>。</w:t>
            </w:r>
            <w:r>
              <w:rPr>
                <w:rFonts w:hint="eastAsia" w:ascii="宋体" w:hAnsi="宋体" w:eastAsia="宋体" w:cs="宋体"/>
                <w:b/>
                <w:bCs/>
                <w:color w:val="auto"/>
                <w:sz w:val="21"/>
                <w:szCs w:val="21"/>
                <w:highlight w:val="none"/>
              </w:rPr>
              <w:t>（须提供技术白皮书或证明图片）</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973" w:type="dxa"/>
            <w:vMerge w:val="restart"/>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一般参数</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65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≥23.8英寸高分辨率液晶监视器，具备万向关节臂设计，可实现上下左右前后任意方位调节，可前后折叠</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5" w:hRule="atLeast"/>
          <w:jc w:val="center"/>
        </w:trPr>
        <w:tc>
          <w:tcPr>
            <w:tcW w:w="973"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65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液晶触摸屏≥12.1英寸，可与显示器同步显示实时图像，支持界面编辑及滑动翻页功能</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973"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65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触摸屏支持数字TGC功能，滑动调节时间增益曲线，并可保存为常用预设置</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973"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6507"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探头接口：可激活探头接口≥4 个（不包括笔式探头接口），可通用互换均为，均为无针触点式大接口，触点数≥400</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973"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65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操作面板支持电动调节高度、前后左右位置及旋转，支持全封闭式键盘</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6507"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采用整场空间像素成像原理成像，一次性成像无需调节焦点位置和数目，图像区域无聚焦点或聚焦带</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6507"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具备数据防御系统，可对不同人群设置数据开放度及访问权限</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noWrap/>
            <w:vAlign w:val="center"/>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65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宽频可变频成像技术：灰阶、谐波、彩色、频谱支持独立变频，中心频率可视可调</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65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宽景成像：扫描长度≥110cm，支持凸阵、相控阵、线阵等所有2D成像探头</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灰阶血流成像技术：非多普勒成像原理，真实反应血管内血流状态，无取样框、无角度依赖，无需注射造影剂的情况下观察血流动力学状态。支持凸阵/高频凸阵、小微凸、线阵/高频线阵、面阵、相控阵及介入探头等</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超微细血流成像技术，显示超微细血流及低速血流信号，支持与B模式同屏对照显示，支持与实时拍摄的情景照片同屏对照显示</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二维立体血流显示技术：二维血流显示达到三维显示效果，给与临床更加直观及敏感的图像。立体程度可调节，可联合超低速血流技术和高穿透技术成像，并可支持测速。</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穿刺针增强显示功能：可独立调整穿刺针的显示增益，不影响背景图像质量，多角度可调，具体穿刺针增益数值可显示，帮助清晰显示穿刺路径，提高穿刺活检及介入治疗操作成功率</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成人心脏探头有效扫描角度≥120°（包含灰阶及彩色下成像）</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65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智能血管检查技术：一键完成八步以上操作步骤，自动完成整个血管检查。（包括自动识别血管位置、自动调整彩色取样框位置、角度，调整频谱取样容积及角度、自动优化图像、自动测量）</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造影功能支持凸阵、线阵、相控阵、微凸阵、面阵、腔内、容积探头等，≥18支探头</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造影功能既有谐波造影，又有基波造影模式，并具备原厂高机械指数造影模式；造影一次性存储时间≥10分钟</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造影功能支持造影剂二次注射，有2个独立造影计时器，超声造影成像可与CT\MR\PET-CT等图像对照显示</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造影功能具有全套机载一体化TIC时间强度分析软件及后处理功能：可在双幅对照图像上进行TIC时间强度曲线分析，感兴趣区≥8个，可分析项目包括：均方误差、到达时间、曲线下面积、梯度、最大强度等</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造影功能可使用不同颜色标记造影剂到达时间，方便观察并比较病灶及组织的造影剂灌注特点。颜色和时间可自行设置；支持原始数据功能，同一系列其他机型以原始数据格式存储的动态造影图像也可以导入本设备做造影参量成像图</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可在造影模式下启动超微细血流，并支持立体显示模式。</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应变式弹性成像功能具备成像质量监控色棒和操作动作曲线，指导医生操作</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应变式弹性成像功能可支持凸阵、线阵、腔内、多维阵列、术中L型探头等≥14个探头</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应变式弹性成像功能具备弹性量化分析：动态弹性图定量分析，可同屏提供≥8个感兴趣区的硬度值和≥7个感兴趣区与参照区的硬度比</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实时二维剪切波弹性成像技术，可支持凸阵、线阵探头、面阵探头、腔内探头、术中探头</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实时二维剪切波弹性成像技术可在腹部凸阵、小器官线阵/面阵、腔内探头上同时实现应变式弹性及剪切波弹性成像</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剪切波取样框深度范围：0.25-33cm</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实时二维剪切波弹性成像技术定量测量参数可提供：最大值、最小值、平均值、标准差、中位数、深度、 面积、比值、质控参数、四分位数等测量参数，为临床提供全面的剪切波定量测量解决方案</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连通性：医学数字图像和通信</w:t>
            </w:r>
            <w:bookmarkStart w:id="1" w:name="OLE_LINK3"/>
            <w:r>
              <w:rPr>
                <w:rFonts w:hint="eastAsia" w:ascii="宋体" w:hAnsi="宋体" w:eastAsia="宋体" w:cs="宋体"/>
                <w:color w:val="auto"/>
                <w:sz w:val="21"/>
                <w:szCs w:val="21"/>
                <w:highlight w:val="none"/>
              </w:rPr>
              <w:t>DICOM 3.0</w:t>
            </w:r>
            <w:bookmarkEnd w:id="1"/>
            <w:r>
              <w:rPr>
                <w:rFonts w:hint="eastAsia" w:ascii="宋体" w:hAnsi="宋体" w:eastAsia="宋体" w:cs="宋体"/>
                <w:color w:val="auto"/>
                <w:sz w:val="21"/>
                <w:szCs w:val="21"/>
                <w:highlight w:val="none"/>
              </w:rPr>
              <w:t>版接口部件(且可以作为中央服务器远程读取、调入、存储其他彩超图像)，支持压缩和高清DICOM图像传输</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固态硬盘容量≥1TB</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频率：无针触点式宽频变频探头，所有成像探头均为宽频变频探头，二维、谐波、彩色、多普勒频率独立可调，具体频率数值可显示</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工作频率范围可在1-24MHz之间选择</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可支持探头类型包括：食道、阴道、直肠、术中、腔内双凸探头等</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可支持探头包括成人凸阵、小儿凸阵、成人相控阵、无线探头、按键探头、高频线阵、高频多维阵列、内置定位感应器单晶体探头，单晶体探头个数≥8 个</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可支持高频面阵线阵探头，阵元数≥1000阵元</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可支持内置感应器探头≥5支</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可搭载无线探头，无线探头具备凸阵及线阵双扫查面</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bookmarkStart w:id="2" w:name="OLE_LINK2"/>
            <w:r>
              <w:rPr>
                <w:rFonts w:hint="eastAsia" w:ascii="宋体" w:hAnsi="宋体" w:eastAsia="宋体" w:cs="宋体"/>
                <w:color w:val="auto"/>
                <w:sz w:val="21"/>
                <w:szCs w:val="21"/>
                <w:highlight w:val="none"/>
              </w:rPr>
              <w:t>无线探头可与主机联合使用，也可作为便携超声独立使用，超声主机具备为无线探头充电功能</w:t>
            </w:r>
            <w:r>
              <w:rPr>
                <w:rFonts w:hint="eastAsia" w:ascii="宋体" w:hAnsi="宋体" w:eastAsia="宋体" w:cs="宋体"/>
                <w:color w:val="auto"/>
                <w:sz w:val="21"/>
                <w:szCs w:val="21"/>
                <w:highlight w:val="none"/>
                <w:lang w:eastAsia="zh-CN"/>
              </w:rPr>
              <w:t>。</w:t>
            </w:r>
            <w:bookmarkEnd w:id="2"/>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系统动态范围≥430dB</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3"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6507"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穿刺导向：探头可配穿刺导向装置，具备≥5个穿刺角度</w:t>
            </w:r>
            <w:r>
              <w:rPr>
                <w:rFonts w:hint="eastAsia" w:ascii="宋体" w:hAnsi="宋体" w:eastAsia="宋体" w:cs="宋体"/>
                <w:color w:val="auto"/>
                <w:sz w:val="21"/>
                <w:szCs w:val="21"/>
                <w:highlight w:val="none"/>
                <w:lang w:eastAsia="zh-CN"/>
              </w:rPr>
              <w:t>。</w:t>
            </w:r>
          </w:p>
        </w:tc>
        <w:tc>
          <w:tcPr>
            <w:tcW w:w="728" w:type="dxa"/>
            <w:tcBorders>
              <w:top w:val="single" w:color="auto" w:sz="4" w:space="0"/>
              <w:left w:val="single" w:color="auto" w:sz="4" w:space="0"/>
              <w:bottom w:val="single" w:color="auto" w:sz="4" w:space="0"/>
              <w:right w:val="single" w:color="auto" w:sz="4" w:space="0"/>
            </w:tcBorders>
            <w:shd w:val="clear" w:color="auto" w:fill="auto"/>
            <w:noWrap/>
            <w:vAlign w:val="top"/>
          </w:tcPr>
          <w:p>
            <w:pPr>
              <w:spacing w:line="608" w:lineRule="exact"/>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default"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采购包4：序号1多普勒超声、序号2彩色多普勒超声</w:t>
      </w:r>
    </w:p>
    <w:tbl>
      <w:tblPr>
        <w:tblStyle w:val="5"/>
        <w:tblW w:w="86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557"/>
        <w:gridCol w:w="6533"/>
        <w:gridCol w:w="5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参数类型</w:t>
            </w:r>
          </w:p>
        </w:tc>
        <w:tc>
          <w:tcPr>
            <w:tcW w:w="557"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653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具体内容</w:t>
            </w:r>
          </w:p>
        </w:tc>
        <w:tc>
          <w:tcPr>
            <w:tcW w:w="596"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5" w:type="dxa"/>
            <w:tcBorders>
              <w:top w:val="single" w:color="auto" w:sz="4" w:space="0"/>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★必备参数</w:t>
            </w:r>
          </w:p>
        </w:tc>
        <w:tc>
          <w:tcPr>
            <w:tcW w:w="557"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6533"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高端妇产机3台（偏产科）：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（1）主要配置：主机3台，配置腹部探头6把，腹部容积探头3把，腔内容积探头4把，线阵探头2把，高频线阵探头1把；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（2）配套设备：超声检查床、超声检查椅、打印机、不间断电源、电脑各3套</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975" w:type="dxa"/>
            <w:vMerge w:val="restart"/>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▲重点参数</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65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主机内置国际深度子宫内膜异位症的标准超声图文评估流程助手，帮助使用者对深度子宫内膜异位症进行标准化评估。</w:t>
            </w:r>
            <w:r>
              <w:rPr>
                <w:rFonts w:hint="eastAsia" w:ascii="宋体" w:hAnsi="宋体" w:eastAsia="宋体" w:cs="宋体"/>
                <w:b/>
                <w:bCs/>
                <w:color w:val="auto"/>
                <w:sz w:val="21"/>
                <w:szCs w:val="21"/>
                <w:highlight w:val="none"/>
              </w:rPr>
              <w:t>（须提供技术白皮书或证明图片）</w:t>
            </w:r>
          </w:p>
        </w:tc>
        <w:tc>
          <w:tcPr>
            <w:tcW w:w="5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975"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65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具备智能三维产程监测功能，能够测量胎儿头部进程、旋转和方向，并同时自动产生一个包括了超声波客观数据、手动输入数据在内的产程报告。</w:t>
            </w:r>
            <w:r>
              <w:rPr>
                <w:rFonts w:hint="eastAsia" w:ascii="宋体" w:hAnsi="宋体" w:eastAsia="宋体" w:cs="宋体"/>
                <w:b/>
                <w:bCs/>
                <w:color w:val="auto"/>
                <w:sz w:val="21"/>
                <w:szCs w:val="21"/>
                <w:highlight w:val="none"/>
              </w:rPr>
              <w:t>（须提供技术白皮书或证明图片）</w:t>
            </w:r>
          </w:p>
        </w:tc>
        <w:tc>
          <w:tcPr>
            <w:tcW w:w="5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975"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65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二维成像扫描深度≥45cm</w:t>
            </w:r>
            <w:r>
              <w:rPr>
                <w:rFonts w:hint="eastAsia" w:ascii="宋体" w:hAnsi="宋体" w:eastAsia="宋体" w:cs="宋体"/>
                <w:b/>
                <w:bCs/>
                <w:color w:val="auto"/>
                <w:sz w:val="21"/>
                <w:szCs w:val="21"/>
                <w:highlight w:val="none"/>
              </w:rPr>
              <w:t>（须提供技术白皮书或证明图片）</w:t>
            </w:r>
            <w:r>
              <w:rPr>
                <w:rFonts w:hint="eastAsia" w:ascii="宋体" w:hAnsi="宋体" w:eastAsia="宋体" w:cs="宋体"/>
                <w:b/>
                <w:bCs/>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975" w:type="dxa"/>
            <w:vMerge w:val="restart"/>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一般参数</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65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主机一体化LCD显示器 ≥23英寸，全方位关节臂旋转</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975"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65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液晶触摸屏≥12.1英寸, 可通过触控屏的多点触控进行容积图像的旋转、放大、切割等直观操作,也可以通过触屏上手势划线实现任意切面成像以及多光源调节功能。</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975"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操作控制台，可单键电动垂直调节高度，并可左右转动、前后移动和锁定</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975"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653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探头接口：≥4个，探头接口为无针式接口</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975" w:type="dxa"/>
            <w:vMerge w:val="continue"/>
            <w:tcBorders>
              <w:left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数字化二维灰阶成像单元</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653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数字化彩色多普勒单元</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653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数字化能量多普勒成像单元</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653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PW脉冲波多普勒成像单元</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653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CW连续波多普勒成像单元</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653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二维凸阵探头及线阵探头可以支持CW连续波多普勒成像，便于进行胎儿心脏血流速度测量</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胎儿心脏成像模式，可以同时实现2条解剖M型</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二维灰阶血流成像技术，采用非多普勒原理，无彩色取样框限制，不需要造影剂，可以对血流进行实时显示，反应血流动力学真实状态。</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二维立体血流成像技术，二维探头即可呈现立体血流形态，增强血流边界的显示及可视化效果。</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具有二维超低速血流显示技术，三维超低速血流显示技术，全面显示组织器官微血流灌注状态。</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宽景成像技术，支持所有凸阵和线阵探头</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主机内置子宫形态分类方法，可以直接根据示意图，判断子宫形态。</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支持机械指数和热指数警报设置，可自定义声输出限制并将其设定到系统中，将在扫描时提供超预设警报。</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具有声影抑制消除技术，提升声影区域图像显示效果。</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支持灰阶及血流三维/四维成像模式，具有虚拟光源移动技术，最大支持3个独立的可移动光源。可实现表面成像和透视剪影成像，同时观察组织的外部轮廓和内部结构。</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断层超声显像技术</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具有胎儿自动识别技术，可实时自动跟踪胎儿运动并调整容积成像框位置，快速获得胎儿表面容积成像，提高工作效率。</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卵泡智能容积成像，自动彩色编码显示，并按照体积大小排序及计数。</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专用窦卵泡智能容积成像，自动彩色编码显示，并按照体积大小排序及计数。</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胎心容积导航技术，2步自动获取包括四腔心、左室流出道、右室流出道、胃泡、静脉连接、导管弓、主动脉弓、三血管气管切面。</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具有实时四维穿刺引导功能，有穿刺引导线。 </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腔内容积探头具有四维实时对比谐波造影功能，支持阴道子宫输卵管超声造影检查。</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65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胎儿颅脑自动分析功能，基于深度学习算法支持，一键自动获取胎儿颅脑正中矢状面，经丘脑平面，经小脑平面，经侧脑室平面等。一键自动同时</w:t>
            </w:r>
            <w:bookmarkStart w:id="3" w:name="OLE_LINK4"/>
            <w:r>
              <w:rPr>
                <w:rFonts w:hint="eastAsia" w:ascii="宋体" w:hAnsi="宋体" w:eastAsia="宋体" w:cs="宋体"/>
                <w:color w:val="auto"/>
                <w:sz w:val="21"/>
                <w:szCs w:val="21"/>
                <w:highlight w:val="none"/>
              </w:rPr>
              <w:t>测量BPD,HC,OFD, CM 后颅</w:t>
            </w:r>
            <w:bookmarkEnd w:id="3"/>
            <w:r>
              <w:rPr>
                <w:rFonts w:hint="eastAsia" w:ascii="宋体" w:hAnsi="宋体" w:eastAsia="宋体" w:cs="宋体"/>
                <w:color w:val="auto"/>
                <w:sz w:val="21"/>
                <w:szCs w:val="21"/>
                <w:highlight w:val="none"/>
              </w:rPr>
              <w:t>窝池, Cerebellum小脑横径, Vp 侧脑室后脚等</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输入/输出信号：USB, HDMI, S-Video, VGA</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连通性：医学数字图像和通信DICOM 3.0</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硬盘容量≥2 T</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支持一键式输出3D打印格式，包括STL、OBJ、PLY、3MF、XYZ格式</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频率：超宽频、变频探头，工作频率可显示，变频探头中心频率可选择≥3种，多普勒频率≥3种。</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可支持单晶体面阵腹部容积探头，阵元数≥550阵元</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可支持高分辨率腔内容积探头，阵元数≥256</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可支持高频面阵线阵探头，阵元数≥1000阵元</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可支持电子矩阵容积探头，阵元数≥8000阵元</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可支持高频线阵容积探头</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75" w:type="dxa"/>
            <w:vMerge w:val="continue"/>
            <w:tcBorders>
              <w:left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w:t>
            </w:r>
          </w:p>
        </w:tc>
        <w:tc>
          <w:tcPr>
            <w:tcW w:w="653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系统动态范围≥410dB</w:t>
            </w:r>
            <w:r>
              <w:rPr>
                <w:rFonts w:hint="eastAsia" w:ascii="宋体" w:hAnsi="宋体" w:eastAsia="宋体" w:cs="宋体"/>
                <w:color w:val="auto"/>
                <w:sz w:val="21"/>
                <w:szCs w:val="21"/>
                <w:highlight w:val="none"/>
                <w:lang w:eastAsia="zh-CN"/>
              </w:rPr>
              <w:t>。</w:t>
            </w:r>
          </w:p>
        </w:tc>
        <w:tc>
          <w:tcPr>
            <w:tcW w:w="596"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三、商务要求（以“★”标示的内容为不允许负偏离的实质性要求）</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8"/>
        <w:gridCol w:w="583"/>
        <w:gridCol w:w="794"/>
        <w:gridCol w:w="664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参数性质</w:t>
            </w:r>
          </w:p>
        </w:tc>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类型</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交货时间</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合同签订后150天内交货。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交货地点</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福建省福州市晋安区横屿路966号。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交货条件</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是否邀请投标人验收</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履约验收方式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1、期次1，说明：详见“★</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、检验标准和方法”。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p>
        </w:tc>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合同支付方式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1、全部货物交货10天内采购人组织人员与供应商共同验收，验收合格后30天内，采购人凭收讫货物的验收凭证和货物验收合格文件等材料，达到付款条件起30日内，支付合同总金额的100.00%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缴纳, 本采购包履约保证金为合同金额的5%</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中标人在签订政府采购合同前应向采购人缴纳合同总金额的5%作为履约保证金，项目交货并验收合格满1年后无其他未了事宜，由中标人提出退款申请，采购人在收到中标人退款申请后30天内无息返还履约保证金。（本项目为非专门面向中小企业的采购项目，若中标人符合中小企业认定标准且按招标文件规定提供有效文件的，履约保证金收取比例为合同总金额的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8" w:type="dxa"/>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583" w:type="dxa"/>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794" w:type="dxa"/>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“6.合同支付方式”补充说明（本商务</w:t>
            </w:r>
            <w:r>
              <w:rPr>
                <w:rFonts w:hint="eastAsia" w:ascii="宋体" w:hAnsi="宋体" w:eastAsia="宋体" w:cs="宋体"/>
                <w:color w:val="auto"/>
                <w:sz w:val="24"/>
                <w:szCs w:val="24"/>
                <w:highlight w:val="none"/>
                <w:lang w:val="en-US" w:eastAsia="zh-CN"/>
              </w:rPr>
              <w:t>要求</w:t>
            </w:r>
            <w:r>
              <w:rPr>
                <w:rFonts w:hint="eastAsia" w:ascii="宋体" w:hAnsi="宋体" w:eastAsia="宋体" w:cs="宋体"/>
                <w:color w:val="auto"/>
                <w:sz w:val="24"/>
                <w:szCs w:val="24"/>
                <w:highlight w:val="none"/>
              </w:rPr>
              <w:t>条款“6.合同支付方式”表述与此处不一致的，以此处为准）：</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采购人可选择以下两种支付方式中的一种，中标人应予以配合。</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全部货物交付后采购人组织人员与中标人共同验收，验收合格后，达到付款条件，采购人凭收讫货物的验收凭证、货物验收合格文件及中标人出具的等额正式发票等材料以转帐方式向中标人支付合同款，达到付款条件起30日内，支付合同总金额的100.00%</w:t>
            </w:r>
            <w:r>
              <w:rPr>
                <w:rFonts w:hint="eastAsia" w:ascii="宋体" w:hAnsi="宋体" w:eastAsia="宋体" w:cs="宋体"/>
                <w:color w:val="auto"/>
                <w:sz w:val="24"/>
                <w:szCs w:val="24"/>
                <w:highlight w:val="none"/>
                <w:lang w:eastAsia="zh-CN"/>
              </w:rPr>
              <w:t>。</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人按上述序号7缴纳履约保证金，并在合同签订后的3日内向采购人提交合同总额100%的银行担保函（有效期至少一年；保函的范围：担保中标人履行合同的全部行为；保证期限：主债务履行期届满之日起三年），达到付款条件起5日内，支付合同总金额的100.00%。中标人无法在采购合同签订后3日内提供约定的，采购人有权取消中标人的资格并解除合同，中标人按合同总金额的20%承担违约责任和恶意、虚假中标的惩罚金。</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采购包2：</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9"/>
        <w:gridCol w:w="585"/>
        <w:gridCol w:w="800"/>
        <w:gridCol w:w="66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参数性质</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类型</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交货时间</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合同签订后150天内交货。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交货地点</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福建省福州市晋安区横屿路966号。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交货条件</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是否邀请投标人验收</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履约验收方式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1、期次1，说明：详见“★</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、检验标准和方法”。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合同支付方式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1、全部货物交货10天内采购人组织人员与供应商共同验收，验收合格后30天内，采购人凭收讫货物的验收凭证和货物验收合格文件等材料，达到付款条件起30日内，支付合同总金额的100.00%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缴纳, 本采购包履约保证金为合同金额的5%</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中标人在签订政府采购合同前应向采购人缴纳合同总金额的5%作为履约保证金，项目交货并验收合格满1年后无其他未了事宜，由中标人提出退款申请，采购人在收到中标人退款申请后30天内无息返还履约保证金。（本项目为非专门面向中小企业的采购项目，若中标人符合中小企业认定标准且按招标文件规定提供有效文件的，履约保证金收取比例为合同总金额的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dxa"/>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585" w:type="dxa"/>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800" w:type="dxa"/>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w:t>
            </w:r>
          </w:p>
        </w:tc>
        <w:tc>
          <w:tcPr>
            <w:tcW w:w="6638" w:type="dxa"/>
            <w:vAlign w:val="top"/>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“6.合同支付方式”补充说明（本商务</w:t>
            </w:r>
            <w:r>
              <w:rPr>
                <w:rFonts w:hint="eastAsia" w:ascii="宋体" w:hAnsi="宋体" w:eastAsia="宋体" w:cs="宋体"/>
                <w:color w:val="auto"/>
                <w:sz w:val="24"/>
                <w:szCs w:val="24"/>
                <w:highlight w:val="none"/>
                <w:lang w:val="en-US" w:eastAsia="zh-CN"/>
              </w:rPr>
              <w:t>要求</w:t>
            </w:r>
            <w:r>
              <w:rPr>
                <w:rFonts w:hint="eastAsia" w:ascii="宋体" w:hAnsi="宋体" w:eastAsia="宋体" w:cs="宋体"/>
                <w:color w:val="auto"/>
                <w:sz w:val="24"/>
                <w:szCs w:val="24"/>
                <w:highlight w:val="none"/>
              </w:rPr>
              <w:t>条款“6.合同支付方式”表述与此处不一致的，以此处为准）：</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采购人可选择以下两种支付方式中的一种，中标人应予以配合。 </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全部货物交付后采购人组织人员与中标人共同验收，验收合格后，达到付款条件，采购人凭收讫货物的验收凭证、货物验收合格文件及中标人出具的等额正式发票等材料以转帐方式向中标人支付合同款，达到付款条件起30日内，支付合同总金额的100.00%</w:t>
            </w:r>
            <w:r>
              <w:rPr>
                <w:rFonts w:hint="eastAsia" w:ascii="宋体" w:hAnsi="宋体" w:eastAsia="宋体" w:cs="宋体"/>
                <w:color w:val="auto"/>
                <w:sz w:val="24"/>
                <w:szCs w:val="24"/>
                <w:highlight w:val="none"/>
                <w:lang w:eastAsia="zh-CN"/>
              </w:rPr>
              <w:t>。</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人按上述序号7缴纳履约保证金，并在合同签订后的3日内向采购人提交合同总额100%的银行担保函（有效期至少一年；保函的范围：担保中标人履行合同的全部行为；保证期限：主债务履行期届满之日起三年），达到付款条件起5日内，支付合同总金额的100.00%。中标人无法在采购合同签订后3日内提供约定的，采购人有权取消中标人的资格并解除合同，中标人按合同总金额的20%承担违约责任和恶意、虚假中标的惩罚金。</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采购包3：</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9"/>
        <w:gridCol w:w="585"/>
        <w:gridCol w:w="800"/>
        <w:gridCol w:w="66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参数性质</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类型</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交货时间</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合同签订后150天内交货。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交货地点</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福建省福州市晋安区横屿路966号。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交货条件</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是否邀请投标人验收</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履约验收方式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1、期次1，说明：详见“★</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、检验标准和方法”。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合同支付方式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1、全部货物交货10天内采购人组织人员与供应商共同验收，验收合格后30天内，采购人凭收讫货物的验收凭证和货物验收合格文件等材料，达到付款条件起30日内，支付合同总金额的100.00%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缴纳, 本采购包履约保证金为合同金额的5%</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中标人在签订政府采购合同前应向采购人缴纳合同总金额的5%作为履约保证金，项目交货并验收合格满1年后无其他未了事宜，由中标人提出退款申请，采购人在收到中标人退款申请后30天内无息返还履约保证金。（本项目为非专门面向中小企业的采购项目，若中标人符合中小企业认定标准且按招标文件规定提供有效文件的，履约保证金收取比例为合同总金额的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dxa"/>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585" w:type="dxa"/>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800" w:type="dxa"/>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w:t>
            </w:r>
          </w:p>
        </w:tc>
        <w:tc>
          <w:tcPr>
            <w:tcW w:w="6638" w:type="dxa"/>
            <w:vAlign w:val="top"/>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“6.合同支付方式”补充说明（本商务</w:t>
            </w:r>
            <w:r>
              <w:rPr>
                <w:rFonts w:hint="eastAsia" w:ascii="宋体" w:hAnsi="宋体" w:eastAsia="宋体" w:cs="宋体"/>
                <w:color w:val="auto"/>
                <w:sz w:val="24"/>
                <w:szCs w:val="24"/>
                <w:highlight w:val="none"/>
                <w:lang w:val="en-US" w:eastAsia="zh-CN"/>
              </w:rPr>
              <w:t>要求</w:t>
            </w:r>
            <w:r>
              <w:rPr>
                <w:rFonts w:hint="eastAsia" w:ascii="宋体" w:hAnsi="宋体" w:eastAsia="宋体" w:cs="宋体"/>
                <w:color w:val="auto"/>
                <w:sz w:val="24"/>
                <w:szCs w:val="24"/>
                <w:highlight w:val="none"/>
              </w:rPr>
              <w:t>条款“6.合同支付方式”表述与此处不一致的，以此处为准）：</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采购人可选择以下两种支付方式中的一种，中标人应予以配合。 </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全部货物交付后采购人组织人员与中标人共同验收，验收合格后，达到付款条件，采购人凭收讫货物的验收凭证、货物验收合格文件及中标人出具的等额正式发票等材料以转帐方式向中标人支付合同款，达到付款条件起30日内，支付合同总金额的100.00%</w:t>
            </w:r>
            <w:r>
              <w:rPr>
                <w:rFonts w:hint="eastAsia" w:ascii="宋体" w:hAnsi="宋体" w:eastAsia="宋体" w:cs="宋体"/>
                <w:color w:val="auto"/>
                <w:sz w:val="24"/>
                <w:szCs w:val="24"/>
                <w:highlight w:val="none"/>
                <w:lang w:eastAsia="zh-CN"/>
              </w:rPr>
              <w:t>。</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人按上述序号7缴纳履约保证金，并在合同签订后的3日内向采购人提交合同总额100%的银行担保函（有效期至少一年；保函的范围：担保中标人履行合同的全部行为；保证期限：主债务履行期届满之日起三年），达到付款条件起5日内，支付合同总金额的100.00%。中标人无法在采购合同签订后3日内提供约定的，采购人有权取消中标人的资格并解除合同，中标人按合同总金额的20%承担违约责任和恶意、虚假中标的惩罚金。</w:t>
            </w:r>
          </w:p>
        </w:tc>
      </w:tr>
    </w:tbl>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采购包4：</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9"/>
        <w:gridCol w:w="585"/>
        <w:gridCol w:w="800"/>
        <w:gridCol w:w="66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参数性质</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类型</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交货时间</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合同签订后150天内交货。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交货地点</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福建省福州市晋安区横屿路966号。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交货条件</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是否邀请投标人验收</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履约验收方式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1、期次1，说明：详见“★</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、检验标准和方法”。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合同支付方式</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1、全部货物交货10天内采购人组织人员与供应商共同验收，验收合格后30天内，采购人凭收讫货物的验收凭证和货物验收合格文件等材料，达到付款条件起30日内，支付合同总金额的100.00%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w:t>
            </w:r>
          </w:p>
        </w:tc>
        <w:tc>
          <w:tcPr>
            <w:tcW w:w="0" w:type="auto"/>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缴纳, 本采购包履约保证金为合同金额的5%</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中标人在签订政府采购合同前应向采购人缴纳合同总金额的5%作为履约保证金，项目交货并验收合格满1年后无其他未了事宜，由中标人提出退款申请，采购人在收到中标人退款申请后30天内无息返还履约保证金。（本项目为非专门面向中小企业的采购项目，若中标人符合中小企业认定标准且按招标文件规定提供有效文件的，履约保证金收取比例为合同总金额的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dxa"/>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585" w:type="dxa"/>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800" w:type="dxa"/>
            <w:vAlign w:val="center"/>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w:t>
            </w:r>
          </w:p>
        </w:tc>
        <w:tc>
          <w:tcPr>
            <w:tcW w:w="6638" w:type="dxa"/>
            <w:vAlign w:val="top"/>
          </w:tcPr>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“6.合同支付方式”补充说明（本商务</w:t>
            </w:r>
            <w:r>
              <w:rPr>
                <w:rFonts w:hint="eastAsia" w:ascii="宋体" w:hAnsi="宋体" w:eastAsia="宋体" w:cs="宋体"/>
                <w:color w:val="auto"/>
                <w:sz w:val="24"/>
                <w:szCs w:val="24"/>
                <w:highlight w:val="none"/>
                <w:lang w:val="en-US" w:eastAsia="zh-CN"/>
              </w:rPr>
              <w:t>要求</w:t>
            </w:r>
            <w:r>
              <w:rPr>
                <w:rFonts w:hint="eastAsia" w:ascii="宋体" w:hAnsi="宋体" w:eastAsia="宋体" w:cs="宋体"/>
                <w:color w:val="auto"/>
                <w:sz w:val="24"/>
                <w:szCs w:val="24"/>
                <w:highlight w:val="none"/>
              </w:rPr>
              <w:t>条款“6.合同支付方式”表述与此处不一致的，以此处为准）：</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采购人可选择以下两种支付方式中的一种，中标人应予以配合。 </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全部货物交付后采购人组织人员与中标人共同验收，验收合格后，达到付款条件，采购人凭收讫货物的验收凭证、货物验收合格文件及中标人出具的等额正式发票等材料以转帐方式向中标人支付合同款，达到付款条件起30日内，支付合同总金额的100.00%</w:t>
            </w:r>
            <w:r>
              <w:rPr>
                <w:rFonts w:hint="eastAsia" w:ascii="宋体" w:hAnsi="宋体" w:eastAsia="宋体" w:cs="宋体"/>
                <w:color w:val="auto"/>
                <w:sz w:val="24"/>
                <w:szCs w:val="24"/>
                <w:highlight w:val="none"/>
                <w:lang w:eastAsia="zh-CN"/>
              </w:rPr>
              <w:t>。</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人按上述序号7缴纳履约保证金，并在合同签订后的3日内向采购人提交合同总额100%的银行担保函（有效期至少一年；保函的范围：担保中标人履行合同的全部行为；保证期限：主债务履行期届满之日起三年），达到付款条件起5日内，支付合同总金额的100.00%。中标人无法在采购合同签订后3日内提供约定的，采购人有权取消中标人的资格并解除合同，中标人按合同总金额的20%承担违约责任和恶意、虚假中标的惩罚金。</w:t>
            </w:r>
          </w:p>
        </w:tc>
      </w:tr>
    </w:tbl>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其他商务要求</w:t>
      </w:r>
    </w:p>
    <w:p>
      <w:pPr>
        <w:pStyle w:val="7"/>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采购包1至采购包4共同的</w:t>
      </w:r>
      <w:r>
        <w:rPr>
          <w:rFonts w:hint="eastAsia" w:ascii="宋体" w:hAnsi="宋体" w:eastAsia="宋体" w:cs="宋体"/>
          <w:b/>
          <w:bCs/>
          <w:color w:val="auto"/>
          <w:sz w:val="24"/>
          <w:szCs w:val="24"/>
          <w:highlight w:val="none"/>
        </w:rPr>
        <w:t>其他商务要求</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shd w:val="clear" w:fill="FFFFFF"/>
          <w:lang w:val="en-US" w:eastAsia="zh-CN"/>
        </w:rPr>
        <w:t>9</w:t>
      </w:r>
      <w:r>
        <w:rPr>
          <w:rFonts w:hint="eastAsia" w:ascii="宋体" w:hAnsi="宋体" w:eastAsia="宋体" w:cs="宋体"/>
          <w:b/>
          <w:color w:val="auto"/>
          <w:sz w:val="24"/>
          <w:szCs w:val="24"/>
          <w:highlight w:val="none"/>
          <w:shd w:val="clear" w:fill="FFFFFF"/>
        </w:rPr>
        <w:t>、包装</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lang w:val="en-US" w:eastAsia="zh-CN"/>
        </w:rPr>
        <w:t>9</w:t>
      </w:r>
      <w:r>
        <w:rPr>
          <w:rFonts w:hint="eastAsia" w:ascii="宋体" w:hAnsi="宋体" w:eastAsia="宋体" w:cs="宋体"/>
          <w:color w:val="auto"/>
          <w:sz w:val="24"/>
          <w:szCs w:val="24"/>
          <w:highlight w:val="none"/>
          <w:shd w:val="clear" w:fill="FFFFFF"/>
        </w:rPr>
        <w:t>.1 包装：产品交货时应按国家有关标准要求进行包装。</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lang w:val="en-US" w:eastAsia="zh-CN"/>
        </w:rPr>
        <w:t>9</w:t>
      </w:r>
      <w:r>
        <w:rPr>
          <w:rFonts w:hint="eastAsia" w:ascii="宋体" w:hAnsi="宋体" w:eastAsia="宋体" w:cs="宋体"/>
          <w:color w:val="auto"/>
          <w:sz w:val="24"/>
          <w:szCs w:val="24"/>
          <w:highlight w:val="none"/>
          <w:shd w:val="clear" w:fill="FFFFFF"/>
        </w:rPr>
        <w:t>.2 包装必须与运输方式相适应，包装方式的确定及包装费用均由中标人负责；由于不适当的包装而造成产品在运输过程中有任何损坏由中标人负责。</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lang w:val="en-US" w:eastAsia="zh-CN"/>
        </w:rPr>
        <w:t>9</w:t>
      </w:r>
      <w:r>
        <w:rPr>
          <w:rFonts w:hint="eastAsia" w:ascii="宋体" w:hAnsi="宋体" w:eastAsia="宋体" w:cs="宋体"/>
          <w:color w:val="auto"/>
          <w:sz w:val="24"/>
          <w:szCs w:val="24"/>
          <w:highlight w:val="none"/>
          <w:shd w:val="clear" w:fill="FFFFFF"/>
        </w:rPr>
        <w:t>.3 包装应足以承受整个过程中的运输、转运、装卸、储存等，充分考虑到运输途中的各种情况（如暴露于恶劣气候等）和福建地区的气候特点。</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10</w:t>
      </w:r>
      <w:r>
        <w:rPr>
          <w:rFonts w:hint="eastAsia" w:ascii="宋体" w:hAnsi="宋体" w:eastAsia="宋体" w:cs="宋体"/>
          <w:b/>
          <w:color w:val="auto"/>
          <w:sz w:val="24"/>
          <w:szCs w:val="24"/>
          <w:highlight w:val="none"/>
        </w:rPr>
        <w:t>、安装、调试</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1合同签订后，由中标人负责将合同规定的设备数量送到安装地点，设备通过采购人确认后，由中标人指派的技术人员到现场进行安装。采购人将安排专人配合，并提供安装所需的基本条件，保证各项安装工作顺利进行。</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.2中标人负责组织专业技术人员进行设备调试，并向采购人安排的工作人员介绍设备功能。</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.3设备安装、调试的完工期须按照合同的规定执行。</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、检验标准和方法</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1验收标准：设备按生产厂家的产品验收标准、合同中的相关条款进行验收。所有设备必须是原装包装。若发现原包装破损或保修条款不满足要求，采购人有权不予接收，并要求中标人无条件重新更换，并按合同条款的有关规定执行，产生的费用含在本次投标报价内。</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.2出厂检验：中标人负责所提供设备的出厂检验，应按设备技术标准规定的检验项目和检验方法进行全面检验，保证设备原厂地和技术指标的真实性、完整性，并负责将设备送达采购人指定的供货地点。</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.3进口商检：若进口货物中标人应提供进口的有关证明，包括货物的产地、品牌及装运港等与投标文件相一致的证明材</w:t>
      </w:r>
      <w:r>
        <w:rPr>
          <w:rFonts w:hint="eastAsia" w:ascii="宋体" w:hAnsi="宋体" w:eastAsia="宋体" w:cs="宋体"/>
          <w:color w:val="auto"/>
          <w:sz w:val="24"/>
          <w:szCs w:val="24"/>
          <w:highlight w:val="none"/>
          <w:lang w:val="en-US" w:eastAsia="zh-CN"/>
        </w:rPr>
        <w:t>料。</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4到货验收：设备送至采购人安装现场后，中标人和采购人一同拆箱，对其全部设备、零件、配件的型号、规格、数量、外型、外观、包装进行到货验收。中标人应负责在项目验收时将系统的全部有关技术文件、资料(包括但不限于产品验收标准、技术资料、系统安装手册、系统管理员手册、用户使用手册、出厂明细表(装箱单)、产品技术标准(含验收标准)和试验方法、出厂检验报告和质量合格证书、其它应提交的资料等)、及安装、测试报告等文档汇集成册交付项目单位。</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5试运行：中标人应对设备的整体性能和功能进行自检，自检结果必须符合招标文件要求及合同中的相关条款，自检合格后，转入为期至少1个月的试运行。试运行结束后，中标人应向采购人提交自检记录和试运行记录，并提出验收申请。经采购人同意后，采购人和中标人共同进行设备的验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.6最终验收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将按照采购合同规定的技术、服务、安全标准组织对供应商履约情况进行验收，并出具验收书。验收书应当包括每一项技术、服务、安全标准的履约情况。验收结果经双方确认后，双方代表必须按规定的验收交接单上的项目对照本合同填好验收结果并签名。验收过程中，若发现设备质量有问题中标人应无条件更换，并无条件重新检测并调试直至验收合格交付使用。在此期间，中标人在采购人现场进行安装、调试、集成、试运行直至验收所发生的一切费用由中标人承担且包含在投标总价中。</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12</w:t>
      </w:r>
      <w:r>
        <w:rPr>
          <w:rFonts w:hint="eastAsia" w:ascii="宋体" w:hAnsi="宋体" w:eastAsia="宋体" w:cs="宋体"/>
          <w:b/>
          <w:color w:val="auto"/>
          <w:sz w:val="24"/>
          <w:szCs w:val="24"/>
          <w:highlight w:val="none"/>
        </w:rPr>
        <w:t>、技术培训及技术资料要求</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1技术培训：中标人应结合设备安装、调试等阶段，派原厂工程师持证上门安装(需提供资质证书)，同步地对采购人的技术人员就有关系统安装、维护、操作使用等方面进行现场技术培训，使受训人员能熟练掌握所有的安装测试和维护方法以及操作命令的使用，产生的一切费用含在本次投标报价内。</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2技术资料：供货方应于验收合格后，采购人付款前提交下列单证和文件，另需提供所有材料PDF格式的扫描件供采购人存档使用：（1）提供与支付金额等额的正式发票及复印件；（2）设备使用说明书；（3）与投标文件相同的供货清单（使用科室签字确认）；（4）福建省儿童医院医疗设备验收单(盖章)；（5）进口产品商检单（若有）、报关单：即包括进口货物的产地、品牌及装运港等与投标文件相一致的证明材料，应提供信息完整的设备报关单，否则将可能影响货款的支付；（6）出厂检验报告：货物制造原厂的出厂检验报告、合格证书、装箱单等；（7）培训记录：设备培训签到、内容登记等（使用科室签字确认）；（8）其他采购人认为需要供货商提交的相关材料。</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13</w:t>
      </w:r>
      <w:r>
        <w:rPr>
          <w:rFonts w:hint="eastAsia" w:ascii="宋体" w:hAnsi="宋体" w:eastAsia="宋体" w:cs="宋体"/>
          <w:b/>
          <w:color w:val="auto"/>
          <w:sz w:val="24"/>
          <w:szCs w:val="24"/>
          <w:highlight w:val="none"/>
        </w:rPr>
        <w:t>、质保期和售后服务要求</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13</w:t>
      </w:r>
      <w:r>
        <w:rPr>
          <w:rFonts w:hint="eastAsia" w:ascii="宋体" w:hAnsi="宋体" w:eastAsia="宋体" w:cs="宋体"/>
          <w:color w:val="auto"/>
          <w:sz w:val="24"/>
          <w:szCs w:val="24"/>
          <w:highlight w:val="none"/>
        </w:rPr>
        <w:t>.1中标人须按招标文件的要求提供合格的设备。</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本项目所投设备质保期</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年。质保期自验收合格签名之日起计算。质保期内，须按合同条款提供服务，非因操作不当造成要更换的零配件由中标人负责包修、包换。质保期内产生的一切费用均含在本次报价内。</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13</w:t>
      </w:r>
      <w:r>
        <w:rPr>
          <w:rFonts w:hint="eastAsia" w:ascii="宋体" w:hAnsi="宋体" w:eastAsia="宋体" w:cs="宋体"/>
          <w:color w:val="auto"/>
          <w:sz w:val="24"/>
          <w:szCs w:val="24"/>
          <w:highlight w:val="none"/>
        </w:rPr>
        <w:t>.2中标人在质保期内设备运行发生故障时，中标人在接到采购人故障通知后2小时内应委派专业技术人员到现场提供咨询、维修和更换零部件等服务，并及时填写维修报告报采购人备案，若24小时内无法排除故障，则应先提供同档次备用机供采购人使用。其中发生一切费用由中标人承担。质保期内中标人有责任对设备进行不定期的巡查检修。如质保期内同一故障发生三次，或在两个月内无法修复，中标人无条件换货；因中标人提供的货物存在质量问题，被采购人在验收合格日起半年内累计有五次以上投诉质量方面相关问题等影响采购人正常使用的，中标人需更换存在质量问题的货物；质保期内产生的一切费用均含在本次报价内。半年内累计有十次以上投诉质量方面相关问题等严重影响采购人正常使用的，采购人有权单方面解除合同，退还有质量问题的设备，中标人在收到采购人解除合同通知书后的10日内自行负责拆除和运走该设备，并全额返还该设备采购款项；造成采购人损失的，中标人还应予以赔偿。中标人视自身能力在投标文件中提供更优、更合理的维修服务承诺。</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13</w:t>
      </w:r>
      <w:r>
        <w:rPr>
          <w:rFonts w:hint="eastAsia" w:ascii="宋体" w:hAnsi="宋体" w:eastAsia="宋体" w:cs="宋体"/>
          <w:color w:val="auto"/>
          <w:sz w:val="24"/>
          <w:szCs w:val="24"/>
          <w:highlight w:val="none"/>
        </w:rPr>
        <w:t>.3质保期满前1个月内中标人应负责对设备进行一次全面检查，如发现潜在问题，应负责排除，保证设备正常运行，产生的费用含在本次报价内。</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4为保证采购人设备的正常运行，中标人应根据设备运行状况提供每年4次以上的定期预防性维护保养和每年1次以上的定期校准，并提供详细检测清单的维修报告。设备发生故障维修及保养事件，必须到设备部门备案登记。维护保养的次数与内容、更换维修备件的数目需详细记录，相关文件交采购人存档。各投标人可视自身能力在投标文件中提供更优、更合理的质保期和售后服务承诺。</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5质保期结束后，设备在运行中发生问题，中标人应在接到采购人通知后2小时内响应，并作出维修方案决定；中标人应在接到采购人通知后48小时内派工程师达到现场。中标人有责任对中标人的设备提供良好的维保服务，且只收取配件成本费，不收取上门维修费及差旅费。如遇中标人兼并或代理商不再代理该产品, 中标人需做好移交手续,原合同和协议一切条款继续有效。</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.6招标采购货物在质保期后的维修原则上仅需采购人设备科（特殊情况的需设备科分管领导）确认后即立刻无条件进行维修，采购人无需预付款。采购人保证按确认内容付费并配合相关工作。</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、专用工具、特殊工具与备品备件</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.1专用工具：中标人向采购人提供一套维修所需的专用工具(如果有的话)。</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.2特殊工具：中标人应向采购人提供系统安装和维修所需的特殊专用工具及清单(如果有的话)，其费用包括在投标总价中。</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.3备品备件：中标人应提供设备在质保期内所需的备品备件(如果有的话)，其费用含在投标总价中。</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、违约责任</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1</w:t>
      </w:r>
      <w:r>
        <w:rPr>
          <w:rFonts w:hint="eastAsia" w:ascii="宋体" w:hAnsi="宋体" w:eastAsia="宋体" w:cs="宋体"/>
          <w:color w:val="auto"/>
          <w:sz w:val="24"/>
          <w:szCs w:val="24"/>
          <w:highlight w:val="none"/>
          <w:shd w:val="clear" w:fill="FFFFFF"/>
          <w:lang w:val="en-US" w:eastAsia="zh-CN"/>
        </w:rPr>
        <w:t>5</w:t>
      </w:r>
      <w:r>
        <w:rPr>
          <w:rFonts w:hint="eastAsia" w:ascii="宋体" w:hAnsi="宋体" w:eastAsia="宋体" w:cs="宋体"/>
          <w:color w:val="auto"/>
          <w:sz w:val="24"/>
          <w:szCs w:val="24"/>
          <w:highlight w:val="none"/>
          <w:shd w:val="clear" w:fill="FFFFFF"/>
        </w:rPr>
        <w:t>.1因中标人原因造成采购合同无法按时签订的，视为中标人违约，中标人须向采购人支付合同金额的5%违约金。</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1</w:t>
      </w:r>
      <w:r>
        <w:rPr>
          <w:rFonts w:hint="eastAsia" w:ascii="宋体" w:hAnsi="宋体" w:eastAsia="宋体" w:cs="宋体"/>
          <w:color w:val="auto"/>
          <w:sz w:val="24"/>
          <w:szCs w:val="24"/>
          <w:highlight w:val="none"/>
          <w:shd w:val="clear" w:fill="FFFFFF"/>
          <w:lang w:val="en-US" w:eastAsia="zh-CN"/>
        </w:rPr>
        <w:t>5</w:t>
      </w:r>
      <w:r>
        <w:rPr>
          <w:rFonts w:hint="eastAsia" w:ascii="宋体" w:hAnsi="宋体" w:eastAsia="宋体" w:cs="宋体"/>
          <w:color w:val="auto"/>
          <w:sz w:val="24"/>
          <w:szCs w:val="24"/>
          <w:highlight w:val="none"/>
          <w:shd w:val="clear" w:fill="FFFFFF"/>
        </w:rPr>
        <w:t>.2如果中标人未能按合同规定的时间按时足额交货的（不可抗力除外），在中标人书面同意支付延期交货违约金的条件下，采购人有权选择同意延长交货期还是不予延长交货期，采购人同意延长交货期的，延期交货的时间由双方另行确定。延期交货违约金的支付采购人有权从未付的合同货款中扣除。延期交货违约金比率为每迟交1 天，按总金额的0.08％。但是，延期交货违约金的支付总额不得超过总金额的5％。</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1</w:t>
      </w:r>
      <w:r>
        <w:rPr>
          <w:rFonts w:hint="eastAsia" w:ascii="宋体" w:hAnsi="宋体" w:eastAsia="宋体" w:cs="宋体"/>
          <w:color w:val="auto"/>
          <w:sz w:val="24"/>
          <w:szCs w:val="24"/>
          <w:highlight w:val="none"/>
          <w:shd w:val="clear" w:fill="FFFFFF"/>
          <w:lang w:val="en-US" w:eastAsia="zh-CN"/>
        </w:rPr>
        <w:t>5</w:t>
      </w:r>
      <w:r>
        <w:rPr>
          <w:rFonts w:hint="eastAsia" w:ascii="宋体" w:hAnsi="宋体" w:eastAsia="宋体" w:cs="宋体"/>
          <w:color w:val="auto"/>
          <w:sz w:val="24"/>
          <w:szCs w:val="24"/>
          <w:highlight w:val="none"/>
          <w:shd w:val="clear" w:fill="FFFFFF"/>
        </w:rPr>
        <w:t>.3中标人逾期履行提供服务的，中标人应按逾期交付总额每日0.3%向采购人支付违约金，由采购人从待付货款中扣除。中标人无正当理由逾期超过约定日期15日仍不能交付的，视为“中标人不按合同约定履约”。</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1</w:t>
      </w:r>
      <w:r>
        <w:rPr>
          <w:rFonts w:hint="eastAsia" w:ascii="宋体" w:hAnsi="宋体" w:eastAsia="宋体" w:cs="宋体"/>
          <w:color w:val="auto"/>
          <w:sz w:val="24"/>
          <w:szCs w:val="24"/>
          <w:highlight w:val="none"/>
          <w:shd w:val="clear" w:fill="FFFFFF"/>
          <w:lang w:val="en-US" w:eastAsia="zh-CN"/>
        </w:rPr>
        <w:t>5</w:t>
      </w:r>
      <w:r>
        <w:rPr>
          <w:rFonts w:hint="eastAsia" w:ascii="宋体" w:hAnsi="宋体" w:eastAsia="宋体" w:cs="宋体"/>
          <w:color w:val="auto"/>
          <w:sz w:val="24"/>
          <w:szCs w:val="24"/>
          <w:highlight w:val="none"/>
          <w:shd w:val="clear" w:fill="FFFFFF"/>
        </w:rPr>
        <w:t>.4中标人所交付的产品不符合合同规定及《招标文件》规定标准的，采购人有权拒收，中标人愿意更换产品但逾期交货的，按中标人逾期交货处理。中标人拒绝更换产品的，视为“中标人不按合同约定履约”。</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1</w:t>
      </w:r>
      <w:r>
        <w:rPr>
          <w:rFonts w:hint="eastAsia" w:ascii="宋体" w:hAnsi="宋体" w:eastAsia="宋体" w:cs="宋体"/>
          <w:color w:val="auto"/>
          <w:sz w:val="24"/>
          <w:szCs w:val="24"/>
          <w:highlight w:val="none"/>
          <w:shd w:val="clear" w:fill="FFFFFF"/>
          <w:lang w:val="en-US" w:eastAsia="zh-CN"/>
        </w:rPr>
        <w:t>5</w:t>
      </w:r>
      <w:r>
        <w:rPr>
          <w:rFonts w:hint="eastAsia" w:ascii="宋体" w:hAnsi="宋体" w:eastAsia="宋体" w:cs="宋体"/>
          <w:color w:val="auto"/>
          <w:sz w:val="24"/>
          <w:szCs w:val="24"/>
          <w:highlight w:val="none"/>
          <w:shd w:val="clear" w:fill="FFFFFF"/>
        </w:rPr>
        <w:t>.5中标人所交付的产品不符合合同规定及《招标文件》规定标准的，采购人有权拒绝中标人更换产品的申请，并视为“中标人不按合同约定履约”。</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1</w:t>
      </w:r>
      <w:r>
        <w:rPr>
          <w:rFonts w:hint="eastAsia" w:ascii="宋体" w:hAnsi="宋体" w:eastAsia="宋体" w:cs="宋体"/>
          <w:color w:val="auto"/>
          <w:sz w:val="24"/>
          <w:szCs w:val="24"/>
          <w:highlight w:val="none"/>
          <w:shd w:val="clear" w:fill="FFFFFF"/>
          <w:lang w:val="en-US" w:eastAsia="zh-CN"/>
        </w:rPr>
        <w:t>5</w:t>
      </w:r>
      <w:r>
        <w:rPr>
          <w:rFonts w:hint="eastAsia" w:ascii="宋体" w:hAnsi="宋体" w:eastAsia="宋体" w:cs="宋体"/>
          <w:color w:val="auto"/>
          <w:sz w:val="24"/>
          <w:szCs w:val="24"/>
          <w:highlight w:val="none"/>
          <w:shd w:val="clear" w:fill="FFFFFF"/>
        </w:rPr>
        <w:t>.6中标人未能履行合同和招标文件、投标文件规定的其他任何义务和承诺的，均视为“中标人不按合同约定履约”。</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1</w:t>
      </w:r>
      <w:r>
        <w:rPr>
          <w:rFonts w:hint="eastAsia" w:ascii="宋体" w:hAnsi="宋体" w:eastAsia="宋体" w:cs="宋体"/>
          <w:color w:val="auto"/>
          <w:sz w:val="24"/>
          <w:szCs w:val="24"/>
          <w:highlight w:val="none"/>
          <w:shd w:val="clear" w:fill="FFFFFF"/>
          <w:lang w:val="en-US" w:eastAsia="zh-CN"/>
        </w:rPr>
        <w:t>5</w:t>
      </w:r>
      <w:r>
        <w:rPr>
          <w:rFonts w:hint="eastAsia" w:ascii="宋体" w:hAnsi="宋体" w:eastAsia="宋体" w:cs="宋体"/>
          <w:color w:val="auto"/>
          <w:sz w:val="24"/>
          <w:szCs w:val="24"/>
          <w:highlight w:val="none"/>
          <w:shd w:val="clear" w:fill="FFFFFF"/>
        </w:rPr>
        <w:t>.7中标人不按合同约定履约的，采购人可以解除采购合同。同时，中标人还须按向采购人支付违约金：中标人应按合同解除部分对应标的金额的20%支付违约金。违约金不足以弥补采购人损失的，中标人应承担全部赔偿责任。</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1</w:t>
      </w:r>
      <w:r>
        <w:rPr>
          <w:rFonts w:hint="eastAsia" w:ascii="宋体" w:hAnsi="宋体" w:eastAsia="宋体" w:cs="宋体"/>
          <w:color w:val="auto"/>
          <w:sz w:val="24"/>
          <w:szCs w:val="24"/>
          <w:highlight w:val="none"/>
          <w:shd w:val="clear" w:fill="FFFFFF"/>
          <w:lang w:val="en-US" w:eastAsia="zh-CN"/>
        </w:rPr>
        <w:t>5</w:t>
      </w:r>
      <w:r>
        <w:rPr>
          <w:rFonts w:hint="eastAsia" w:ascii="宋体" w:hAnsi="宋体" w:eastAsia="宋体" w:cs="宋体"/>
          <w:color w:val="auto"/>
          <w:sz w:val="24"/>
          <w:szCs w:val="24"/>
          <w:highlight w:val="none"/>
          <w:shd w:val="clear" w:fill="FFFFFF"/>
        </w:rPr>
        <w:t>.8若中标人单方面解除合同，则采购人有权要求中标人按合同解除部分对应标的金额的20%支付违约金。违约金不足以弥补采购人损失的，中标人应承担全部赔偿责任。</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1</w:t>
      </w:r>
      <w:r>
        <w:rPr>
          <w:rFonts w:hint="eastAsia" w:ascii="宋体" w:hAnsi="宋体" w:eastAsia="宋体" w:cs="宋体"/>
          <w:color w:val="auto"/>
          <w:sz w:val="24"/>
          <w:szCs w:val="24"/>
          <w:highlight w:val="none"/>
          <w:shd w:val="clear" w:fill="FFFFFF"/>
          <w:lang w:val="en-US" w:eastAsia="zh-CN"/>
        </w:rPr>
        <w:t>5</w:t>
      </w:r>
      <w:r>
        <w:rPr>
          <w:rFonts w:hint="eastAsia" w:ascii="宋体" w:hAnsi="宋体" w:eastAsia="宋体" w:cs="宋体"/>
          <w:color w:val="auto"/>
          <w:sz w:val="24"/>
          <w:szCs w:val="24"/>
          <w:highlight w:val="none"/>
          <w:shd w:val="clear" w:fill="FFFFFF"/>
        </w:rPr>
        <w:t>.9中标人在履行合同过程中，给采购人造成损失的，应承担全部赔偿责任，若上述违约金不足以弥补采购人损失的，中标人还应承担赔偿责任。</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1</w:t>
      </w:r>
      <w:r>
        <w:rPr>
          <w:rFonts w:hint="eastAsia" w:ascii="宋体" w:hAnsi="宋体" w:eastAsia="宋体" w:cs="宋体"/>
          <w:color w:val="auto"/>
          <w:sz w:val="24"/>
          <w:szCs w:val="24"/>
          <w:highlight w:val="none"/>
          <w:shd w:val="clear" w:fill="FFFFFF"/>
          <w:lang w:val="en-US" w:eastAsia="zh-CN"/>
        </w:rPr>
        <w:t>5</w:t>
      </w:r>
      <w:r>
        <w:rPr>
          <w:rFonts w:hint="eastAsia" w:ascii="宋体" w:hAnsi="宋体" w:eastAsia="宋体" w:cs="宋体"/>
          <w:color w:val="auto"/>
          <w:sz w:val="24"/>
          <w:szCs w:val="24"/>
          <w:highlight w:val="none"/>
          <w:shd w:val="clear" w:fill="FFFFFF"/>
        </w:rPr>
        <w:t>.10因中标人原因给采购人或者第三人造成损害的，一切责任由中标人承担。</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1</w:t>
      </w:r>
      <w:r>
        <w:rPr>
          <w:rFonts w:hint="eastAsia" w:ascii="宋体" w:hAnsi="宋体" w:eastAsia="宋体" w:cs="宋体"/>
          <w:color w:val="auto"/>
          <w:sz w:val="24"/>
          <w:szCs w:val="24"/>
          <w:highlight w:val="none"/>
          <w:shd w:val="clear" w:fill="FFFFFF"/>
          <w:lang w:val="en-US" w:eastAsia="zh-CN"/>
        </w:rPr>
        <w:t>5</w:t>
      </w:r>
      <w:r>
        <w:rPr>
          <w:rFonts w:hint="eastAsia" w:ascii="宋体" w:hAnsi="宋体" w:eastAsia="宋体" w:cs="宋体"/>
          <w:color w:val="auto"/>
          <w:sz w:val="24"/>
          <w:szCs w:val="24"/>
          <w:highlight w:val="none"/>
          <w:shd w:val="clear" w:fill="FFFFFF"/>
        </w:rPr>
        <w:t>.11在明确违约责任后，中标人应在接到书面通知书起七天内支付违约金、赔偿金等。</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shd w:val="clear" w:fill="FFFFFF"/>
        </w:rPr>
        <w:t>1</w:t>
      </w:r>
      <w:r>
        <w:rPr>
          <w:rFonts w:hint="eastAsia" w:ascii="宋体" w:hAnsi="宋体" w:eastAsia="宋体" w:cs="宋体"/>
          <w:b/>
          <w:color w:val="auto"/>
          <w:sz w:val="24"/>
          <w:szCs w:val="24"/>
          <w:highlight w:val="none"/>
          <w:shd w:val="clear" w:fill="FFFFFF"/>
          <w:lang w:val="en-US" w:eastAsia="zh-CN"/>
        </w:rPr>
        <w:t>6</w:t>
      </w:r>
      <w:r>
        <w:rPr>
          <w:rFonts w:hint="eastAsia" w:ascii="宋体" w:hAnsi="宋体" w:eastAsia="宋体" w:cs="宋体"/>
          <w:b/>
          <w:color w:val="auto"/>
          <w:sz w:val="24"/>
          <w:szCs w:val="24"/>
          <w:highlight w:val="none"/>
          <w:shd w:val="clear" w:fill="FFFFFF"/>
        </w:rPr>
        <w:t>、供应商须提供廉洁承诺书，内容如下：</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廉洁承诺书</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致：福建省儿童医院</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为加强采购中的廉政建设，防止发生违法违纪行为，预防职务犯罪案件的发生，我方郑重承诺如下：</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(1)遵守国家和省、市以及行业主管部门关于党风廉政建设的各项规定；</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(2)不以任何理由向贵单位及其工作人员行贿或馈赠礼品；</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(3)不以任何名义为贵单位及其工作人员报支需要由其个人支付的任何费用；</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(4)不以任何理由邀请贵单位及其工作人员参加各项娱乐性活动；</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(5)不为贵单位和个人购置或提供通讯工具、交通工具、家电和高档办公用品；</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(6)在相关案件查办时，有配合甲方和监委提供证据、作证的义务；</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(7)没有其他违反廉政建设规定的行为。</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(8)没有存在与参与本项目的其他供应商有围标串标行为。</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若违反上述廉洁承诺，同意被贵单位列入贵单位不良供应商名单，在禁止期内，放弃参与贵单位各类招标采购活动的权利。</w:t>
      </w:r>
    </w:p>
    <w:p>
      <w:pPr>
        <w:pStyle w:val="7"/>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shd w:val="clear" w:fill="FFFFFF"/>
        </w:rPr>
        <w:t>投标人：(全称)</w:t>
      </w:r>
    </w:p>
    <w:p>
      <w:pPr>
        <w:pStyle w:val="7"/>
        <w:keepNext w:val="0"/>
        <w:keepLines w:val="0"/>
        <w:pageBreakBefore w:val="0"/>
        <w:widowControl/>
        <w:kinsoku/>
        <w:wordWrap/>
        <w:overflowPunct/>
        <w:topLinePunct w:val="0"/>
        <w:autoSpaceDE/>
        <w:autoSpaceDN/>
        <w:bidi w:val="0"/>
        <w:adjustRightInd/>
        <w:snapToGrid/>
        <w:spacing w:line="400" w:lineRule="exact"/>
        <w:ind w:left="399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法定代表人或委托代理人签字:</w:t>
      </w:r>
    </w:p>
    <w:p>
      <w:pPr>
        <w:pStyle w:val="7"/>
        <w:keepNext w:val="0"/>
        <w:keepLines w:val="0"/>
        <w:pageBreakBefore w:val="0"/>
        <w:widowControl/>
        <w:kinsoku/>
        <w:wordWrap/>
        <w:overflowPunct/>
        <w:topLinePunct w:val="0"/>
        <w:autoSpaceDE/>
        <w:autoSpaceDN/>
        <w:bidi w:val="0"/>
        <w:adjustRightInd/>
        <w:snapToGrid/>
        <w:spacing w:line="400" w:lineRule="exact"/>
        <w:ind w:left="3990"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fill="FFFFFF"/>
        </w:rPr>
        <w:t xml:space="preserve">  日期：   年  月  日</w:t>
      </w:r>
    </w:p>
    <w:p>
      <w:pPr>
        <w:pStyle w:val="7"/>
        <w:keepNext w:val="0"/>
        <w:keepLines w:val="0"/>
        <w:pageBreakBefore w:val="0"/>
        <w:widowControl/>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四、其他事项</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1、除招标文件另有规定外，若出现有关法律、法规和规章有强制性规定但招标文件未列明的情形，则投标人应按照有关法律、法规和规章强制性规定执行。</w:t>
      </w:r>
    </w:p>
    <w:p>
      <w:pPr>
        <w:pStyle w:val="7"/>
        <w:keepNext w:val="0"/>
        <w:keepLines w:val="0"/>
        <w:pageBreakBefore w:val="0"/>
        <w:widowControl/>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2、其他：招标文件未明确的其它约定事项或条款，待采购人与中标人签订合同时，由双方协商。</w:t>
      </w:r>
    </w:p>
    <w:p>
      <w:pPr>
        <w:pStyle w:val="7"/>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第六章 政府采购合同</w:t>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参考文本</w:t>
      </w:r>
    </w:p>
    <w:p>
      <w:pPr>
        <w:pStyle w:val="7"/>
        <w:jc w:val="left"/>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 xml:space="preserve"> 政府采购货物买卖合同</w:t>
      </w:r>
    </w:p>
    <w:p>
      <w:pPr>
        <w:pStyle w:val="7"/>
        <w:jc w:val="center"/>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（试行）</w:t>
      </w:r>
    </w:p>
    <w:p>
      <w:pPr>
        <w:pStyle w:val="7"/>
        <w:jc w:val="left"/>
        <w:rPr>
          <w:rFonts w:hint="eastAsia" w:ascii="宋体" w:hAnsi="宋体" w:eastAsia="宋体" w:cs="宋体"/>
          <w:color w:val="auto"/>
          <w:highlight w:val="none"/>
        </w:rPr>
      </w:pPr>
      <w:r>
        <w:rPr>
          <w:rFonts w:hint="eastAsia" w:ascii="宋体" w:hAnsi="宋体" w:eastAsia="宋体" w:cs="宋体"/>
          <w:b/>
          <w:color w:val="auto"/>
          <w:sz w:val="31"/>
          <w:highlight w:val="none"/>
        </w:rPr>
        <w:t>项目名称： __________________________</w:t>
      </w:r>
    </w:p>
    <w:p>
      <w:pPr>
        <w:pStyle w:val="7"/>
        <w:jc w:val="left"/>
        <w:rPr>
          <w:rFonts w:hint="eastAsia" w:ascii="宋体" w:hAnsi="宋体" w:eastAsia="宋体" w:cs="宋体"/>
          <w:color w:val="auto"/>
          <w:highlight w:val="none"/>
        </w:rPr>
      </w:pPr>
      <w:r>
        <w:rPr>
          <w:rFonts w:hint="eastAsia" w:ascii="宋体" w:hAnsi="宋体" w:eastAsia="宋体" w:cs="宋体"/>
          <w:b/>
          <w:color w:val="auto"/>
          <w:sz w:val="31"/>
          <w:highlight w:val="none"/>
        </w:rPr>
        <w:t>合同编号： __________________________</w:t>
      </w:r>
    </w:p>
    <w:p>
      <w:pPr>
        <w:pStyle w:val="7"/>
        <w:jc w:val="left"/>
        <w:rPr>
          <w:rFonts w:hint="eastAsia" w:ascii="宋体" w:hAnsi="宋体" w:eastAsia="宋体" w:cs="宋体"/>
          <w:color w:val="auto"/>
          <w:highlight w:val="none"/>
        </w:rPr>
      </w:pPr>
      <w:r>
        <w:rPr>
          <w:rFonts w:hint="eastAsia" w:ascii="宋体" w:hAnsi="宋体" w:eastAsia="宋体" w:cs="宋体"/>
          <w:b/>
          <w:color w:val="auto"/>
          <w:sz w:val="31"/>
          <w:highlight w:val="none"/>
        </w:rPr>
        <w:t>甲   方： __________________________</w:t>
      </w:r>
    </w:p>
    <w:p>
      <w:pPr>
        <w:pStyle w:val="7"/>
        <w:jc w:val="left"/>
        <w:rPr>
          <w:rFonts w:hint="eastAsia" w:ascii="宋体" w:hAnsi="宋体" w:eastAsia="宋体" w:cs="宋体"/>
          <w:color w:val="auto"/>
          <w:highlight w:val="none"/>
        </w:rPr>
      </w:pPr>
      <w:r>
        <w:rPr>
          <w:rFonts w:hint="eastAsia" w:ascii="宋体" w:hAnsi="宋体" w:eastAsia="宋体" w:cs="宋体"/>
          <w:b/>
          <w:color w:val="auto"/>
          <w:sz w:val="31"/>
          <w:highlight w:val="none"/>
        </w:rPr>
        <w:t>乙   方：__________________________</w:t>
      </w:r>
    </w:p>
    <w:p>
      <w:pPr>
        <w:pStyle w:val="7"/>
        <w:jc w:val="left"/>
        <w:rPr>
          <w:rFonts w:hint="eastAsia" w:ascii="宋体" w:hAnsi="宋体" w:eastAsia="宋体" w:cs="宋体"/>
          <w:color w:val="auto"/>
          <w:highlight w:val="none"/>
        </w:rPr>
      </w:pPr>
      <w:r>
        <w:rPr>
          <w:rFonts w:hint="eastAsia" w:ascii="宋体" w:hAnsi="宋体" w:eastAsia="宋体" w:cs="宋体"/>
          <w:b/>
          <w:color w:val="auto"/>
          <w:sz w:val="31"/>
          <w:highlight w:val="none"/>
        </w:rPr>
        <w:t>签订时间：__________________________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pPr>
        <w:pStyle w:val="7"/>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使用说明</w:t>
      </w:r>
    </w:p>
    <w:p>
      <w:pPr>
        <w:pStyle w:val="7"/>
        <w:jc w:val="left"/>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1.本合同标准文本适用于购买现成货物的采购项目，不包括需要供应商定制开发、创新研发的货物采购项目。</w:t>
      </w:r>
    </w:p>
    <w:p>
      <w:pPr>
        <w:pStyle w:val="7"/>
        <w:jc w:val="left"/>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2.本合同标准文本为政府采购货物买卖合同编制提供参考，可以结合采购项目具体情况，对文本作必要的调整修订后使用。</w:t>
      </w:r>
    </w:p>
    <w:p>
      <w:pPr>
        <w:pStyle w:val="7"/>
        <w:jc w:val="left"/>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3.本合同标准文本各条款中，如涉及填写多家供应商、制造商，多种采购标的、分包主要内容等信息的，可根据采购项目具体情况添加信息项。</w:t>
      </w:r>
    </w:p>
    <w:p>
      <w:pPr>
        <w:pStyle w:val="7"/>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第一节 政府采购合同协议书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甲方（全称）：___________________________（采购人、受采购人委托签订合同的单位或采购文件约定的合同甲方）</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乙方1（全称）：___________________________（供应商）</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乙方2（全称）：___________________________（联合体成员供应商或其他合同主体）（如有）</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乙方3（全称）：___________________________（联合体成员供应商或其他合同主体）（如有）</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1.项目信息</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(1)采购项目名称：___________________________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采购项目编号：____________________________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(2)采购计划编号：___________________________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(3)项目内容：</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采购标的及数量（台/套/个/架/组等）：___________________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品牌： ___________________ 规格型号：___________________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采购标的的技术要求、商务要求具体见附件。</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①涉及信息类产品，请填写该产品关键部件的品牌、型号：</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标的名称： 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关键部件： ___________________ 品牌：___________________ 型号： 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关键部件： ___________________ 品牌：___________________ 型号： 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关键部件： ___________________ 品牌：___________________ 型号： 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（注：关键部件是指财政部会同有关部门发布的政府采购需求标准规定的需要通过国家有关部门指定的测评机构开展的安全可靠测评的软硬件，如CPU芯片、操作系统、数据库等。）</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②涉及车辆采购，请填写是否属于新能源汽车：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是，《政府采购品目分类目录》底级品目名称：__________  数量：__________  金额：__________</w:t>
      </w:r>
    </w:p>
    <w:p>
      <w:pPr>
        <w:pStyle w:val="7"/>
        <w:spacing w:line="300" w:lineRule="auto"/>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(4)政府采购组织形式：政府集中采购 部门集中采购 分散采购</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(5)政府采购方式：公开招标 邀请招标 竞争性谈判 竞争性磋商询价 单一来源 框架协议 其他：____________________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(6)中标（成交）采购标的制造商是否为中小企业：是否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本合同是否为专门面向中小企业的采购合同（中小企业预留合同）：是否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若本项目不专门面向中小企业采购，是否给予小微企业评审优惠：是否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中标（成交）采购标的制造商是否为残疾人福利性单位：是否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中标（成交）采购标的制造商是否为监狱企业：是否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(7)合同是否分包：是否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分包主要内容：________________________________________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分包供应商/制造商名称（如供应商和制造商不同，请分别填写）：</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________________________________________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分包供应商/制造商类型（如果供应商和制造商不同，只填写制造商类型）：</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大型企业中型企业小微型企业</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残疾人福利性单位监狱企业其他</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(8)中标（成交）供应商是否为外商投资企业：是否</w:t>
      </w:r>
    </w:p>
    <w:p>
      <w:pPr>
        <w:pStyle w:val="7"/>
        <w:spacing w:line="300" w:lineRule="auto"/>
        <w:ind w:firstLine="840"/>
        <w:jc w:val="left"/>
        <w:rPr>
          <w:rFonts w:hint="eastAsia" w:ascii="宋体" w:hAnsi="宋体" w:eastAsia="宋体" w:cs="宋体"/>
          <w:color w:val="auto"/>
          <w:highlight w:val="none"/>
        </w:rPr>
      </w:pPr>
      <w:r>
        <w:rPr>
          <w:rFonts w:hint="eastAsia" w:ascii="宋体" w:hAnsi="宋体" w:eastAsia="宋体" w:cs="宋体"/>
          <w:color w:val="auto"/>
          <w:highlight w:val="none"/>
        </w:rPr>
        <w:t>外商投资企业类型：全部由外国投资者投资部分由外国投资者投资</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（9）是否涉及进口产品：</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是，《政府采购品目分类目录》底级品目名称：__________  金额：__________</w:t>
      </w:r>
    </w:p>
    <w:p>
      <w:pPr>
        <w:pStyle w:val="7"/>
        <w:spacing w:line="300" w:lineRule="auto"/>
        <w:ind w:firstLine="1260"/>
        <w:jc w:val="left"/>
        <w:rPr>
          <w:rFonts w:hint="eastAsia" w:ascii="宋体" w:hAnsi="宋体" w:eastAsia="宋体" w:cs="宋体"/>
          <w:color w:val="auto"/>
          <w:highlight w:val="none"/>
        </w:rPr>
      </w:pPr>
      <w:r>
        <w:rPr>
          <w:rFonts w:hint="eastAsia" w:ascii="宋体" w:hAnsi="宋体" w:eastAsia="宋体" w:cs="宋体"/>
          <w:color w:val="auto"/>
          <w:highlight w:val="none"/>
        </w:rPr>
        <w:t>国别：__________  品牌：__________  规格型号__________</w:t>
      </w:r>
    </w:p>
    <w:p>
      <w:pPr>
        <w:pStyle w:val="7"/>
        <w:spacing w:line="300" w:lineRule="auto"/>
        <w:ind w:firstLine="84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（10）是否涉及节能产品：</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是，《节能产品政府采购品目清单》的底级品目名称：__________</w:t>
      </w:r>
    </w:p>
    <w:p>
      <w:pPr>
        <w:pStyle w:val="7"/>
        <w:spacing w:line="300" w:lineRule="auto"/>
        <w:ind w:firstLine="126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强制采购         优先采购</w:t>
      </w:r>
    </w:p>
    <w:p>
      <w:pPr>
        <w:pStyle w:val="7"/>
        <w:spacing w:line="300" w:lineRule="auto"/>
        <w:ind w:firstLine="84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否</w:t>
      </w:r>
    </w:p>
    <w:p>
      <w:pPr>
        <w:pStyle w:val="7"/>
        <w:ind w:firstLine="840"/>
        <w:jc w:val="left"/>
        <w:rPr>
          <w:rFonts w:hint="eastAsia" w:ascii="宋体" w:hAnsi="宋体" w:eastAsia="宋体" w:cs="宋体"/>
          <w:color w:val="auto"/>
          <w:highlight w:val="none"/>
        </w:rPr>
      </w:pPr>
      <w:r>
        <w:rPr>
          <w:rFonts w:hint="eastAsia" w:ascii="宋体" w:hAnsi="宋体" w:eastAsia="宋体" w:cs="宋体"/>
          <w:color w:val="auto"/>
          <w:highlight w:val="none"/>
        </w:rPr>
        <w:t>是否涉及环境标志产品：</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是，《环境标志产品政府采购品目清单》的底级品目名称：__________</w:t>
      </w:r>
    </w:p>
    <w:p>
      <w:pPr>
        <w:pStyle w:val="7"/>
        <w:spacing w:line="300" w:lineRule="auto"/>
        <w:ind w:firstLine="126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强制采购         优先采购</w:t>
      </w:r>
    </w:p>
    <w:p>
      <w:pPr>
        <w:pStyle w:val="7"/>
        <w:spacing w:line="300" w:lineRule="auto"/>
        <w:ind w:firstLine="84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否</w:t>
      </w:r>
    </w:p>
    <w:p>
      <w:pPr>
        <w:pStyle w:val="7"/>
        <w:ind w:firstLine="840"/>
        <w:jc w:val="left"/>
        <w:rPr>
          <w:rFonts w:hint="eastAsia" w:ascii="宋体" w:hAnsi="宋体" w:eastAsia="宋体" w:cs="宋体"/>
          <w:color w:val="auto"/>
          <w:highlight w:val="none"/>
        </w:rPr>
      </w:pPr>
      <w:r>
        <w:rPr>
          <w:rFonts w:hint="eastAsia" w:ascii="宋体" w:hAnsi="宋体" w:eastAsia="宋体" w:cs="宋体"/>
          <w:color w:val="auto"/>
          <w:highlight w:val="none"/>
        </w:rPr>
        <w:t>是否涉及绿色产品：</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是，绿色产品政府采购相关政策确定的底级品目名称：__________</w:t>
      </w:r>
    </w:p>
    <w:p>
      <w:pPr>
        <w:pStyle w:val="7"/>
        <w:spacing w:line="300" w:lineRule="auto"/>
        <w:ind w:firstLine="126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强制采购         优先采购</w:t>
      </w:r>
    </w:p>
    <w:p>
      <w:pPr>
        <w:pStyle w:val="7"/>
        <w:spacing w:line="300" w:lineRule="auto"/>
        <w:ind w:firstLine="84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(11)涉及商品包装和快递包装的，是否参考《商品包装政府采购需求标准（试行）》、《快递包装政府采购需求标准（试行）》明确产品及相关快递服务的具体包装要求：</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是         否        不涉及</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2.合同金额</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（1）合同金额小写：____________________</w:t>
      </w:r>
    </w:p>
    <w:p>
      <w:pPr>
        <w:pStyle w:val="7"/>
        <w:ind w:firstLine="1980"/>
        <w:jc w:val="left"/>
        <w:rPr>
          <w:rFonts w:hint="eastAsia" w:ascii="宋体" w:hAnsi="宋体" w:eastAsia="宋体" w:cs="宋体"/>
          <w:color w:val="auto"/>
          <w:highlight w:val="none"/>
        </w:rPr>
      </w:pPr>
      <w:r>
        <w:rPr>
          <w:rFonts w:hint="eastAsia" w:ascii="宋体" w:hAnsi="宋体" w:eastAsia="宋体" w:cs="宋体"/>
          <w:color w:val="auto"/>
          <w:highlight w:val="none"/>
        </w:rPr>
        <w:t>大写：____________________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分包金额（如有）小写：____________________</w:t>
      </w:r>
    </w:p>
    <w:p>
      <w:pPr>
        <w:pStyle w:val="7"/>
        <w:ind w:firstLine="2820"/>
        <w:jc w:val="left"/>
        <w:rPr>
          <w:rFonts w:hint="eastAsia" w:ascii="宋体" w:hAnsi="宋体" w:eastAsia="宋体" w:cs="宋体"/>
          <w:color w:val="auto"/>
          <w:highlight w:val="none"/>
        </w:rPr>
      </w:pPr>
      <w:r>
        <w:rPr>
          <w:rFonts w:hint="eastAsia" w:ascii="宋体" w:hAnsi="宋体" w:eastAsia="宋体" w:cs="宋体"/>
          <w:color w:val="auto"/>
          <w:highlight w:val="none"/>
        </w:rPr>
        <w:t>大写：____________________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（注：固定单价合同应填写单价和最高限价）</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（2）合同定价方式（采用组合定价方式的，可以勾选多项）：</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固定总价固定单价成本补偿绩效激励其他__________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（3）付款方式（按项目实际勾选填写）：</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全额付款：_______（应明确一次性支付合同款项的条件）_____________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分期付款：_______（应明确分期支付合同款项的各期比例和支付条件，各期支付条件应与分期履约验收情况挂钩）_____________，其中涉及预付款的：_______ （应明确预付款的支付比例和支付条件）</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成本补偿：_______（应明确按照成本补偿方式的支付方式和支付条件）___________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绩效激励：_______（应明确按照绩效激励方式的支付方式和支付条件）_________</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3.合同履行</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（1）起始日期：____________________年____________________月 ____________________日 ，完成日期：____________________年____________________月____________________日。</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（2）履约地点：____________________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（3）履约担保：</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是否收取履约保证金：是 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收取履约保证金形式：____________________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收取履约保证金金额：____________________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履约担保期限：____________________</w:t>
      </w:r>
    </w:p>
    <w:p>
      <w:pPr>
        <w:pStyle w:val="7"/>
        <w:ind w:firstLine="510"/>
        <w:jc w:val="left"/>
        <w:rPr>
          <w:rFonts w:hint="eastAsia" w:ascii="宋体" w:hAnsi="宋体" w:eastAsia="宋体" w:cs="宋体"/>
          <w:color w:val="auto"/>
          <w:highlight w:val="none"/>
        </w:rPr>
      </w:pPr>
      <w:r>
        <w:rPr>
          <w:rFonts w:hint="eastAsia" w:ascii="宋体" w:hAnsi="宋体" w:eastAsia="宋体" w:cs="宋体"/>
          <w:color w:val="auto"/>
          <w:highlight w:val="none"/>
        </w:rPr>
        <w:t>履约担保期限：____________________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（4）分期履行要求：____________________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（5）风险处置措施和替代方案：____________________</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4.合同验收</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（1）验收组织方式：自行验收委托第三方验收</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验收主体：____________________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是否邀请本项目的其他供应商参加验收：是否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是否邀请专家参加验收：是否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是否邀请服务对象参加验收：是否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是否邀请第三方检测机构参加验收：是否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是否进行抽查检测： 是，抽查比例：__________%否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是否存在破坏性检测： 是，__________否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验收组织的其他事项：____________________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（2）履约验收时间：计划于何时验收/供应商提出验收申请之日起_______日内组织验收</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（3）履约验收方式：一次性验收分期/分项验收：__________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（4）履约验收程序：____________________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（5）履约验收的内容：_________（应当包括每一项技术和商务要求的履约情况，特别是落实政府采购扶持中小企业，支持绿色发展和乡村振兴等政策情况）___________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（6）履约验收标准：_____________________________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（7）是否以采购活动中供应商提供的样品作为参考：是否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（8）履约验收其他事项：_______________</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5.组成合同的文件</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本协议书与下列文件一起构成合同文件，如下述文件之间有任何抵触、矛盾或歧义，应按以下顺序解释：</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（1）政府采购合同协议书及其变更、补充协议</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（2）政府采购合同专用条款</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（3）政府采购合同通用条款</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（4）中标（成交）通知书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（5）投标（响应）文件</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（6）采购文件</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（7）有关技术文件，图纸</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（8）国家法律、行政法规和规章制度规定或合同约定的作为合同组成部分的其他文件</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6.合同生效</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本合同自____________________生效。</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7.合同份数</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本合同一式 _______ 份，甲方执 _______ 份，乙方执 _______ 份，均具有同等法律效力。</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合同订立时间：详见本合同封面的签订时间。</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合同订立地点： ____________________________</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附件：具体标的及其技术要求和商务要求、联合协议、分包意向协议等。</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甲方（采购人、受采购人委托签订合同的单位或采购文件约定的合同甲方）</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单位名称（公章或合同章）： {{未填写}}（盖章）</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法定代表人或其委托代理人（签章）：{{未填写}}</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住 所：{{未填写}}</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联 系 人：{{未填写}}</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联系电话：{{未填写}}</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通信地址：{{未填写}}</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邮政编码：{{未填写}}</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电子邮箱：{{未填写}}</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统一社会信用代码：{{未填写}}</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pPr>
        <w:pStyle w:val="7"/>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第二节 政府采购合同通用条款</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1. 定义</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1.1合同当事人</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（1）采购人（以下称甲方）是指使用财政性资金，通过政府采购方式向供应商购买货物及其相关服务的国家机关、事业单位、团体组织。</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（2）供应商（以下称乙方）是指参加政府采购活动并且中标（成交），向采购人提供合同约定的货物及其相关服务的法人、非法人组织或者自然人。</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（3）其他合同主体是指除采购人和供应商以外，依法参与合同缔结或履行，享有权利、承担义务的合同当事人。</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1.2本合同下列术语应解释为：</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（2）“合同价款”系指根据本合同规定乙方在全面履行合同义务后甲方应支付给乙方的价款。</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（3）“货物”系指乙方根据本合同规定须向甲方提供的各种形态和种类的物品，包括原材料、设备、产品（包括软件）及相关的其备品备件、工具、手册及其他技术资料和材料等。</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（5）“分包”系指中标（成交）供应商按采购文件、投标（响应）文件的规定，根据分包意向协议，将中标（成交）项目中的部分履约内容，分给具有相应资质条件的供应商履行合同的行为。</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（7）其他术语解释，见</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2.合同标的及金额</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2.1 合同标的及金额应与中标（成交）结果一致。乙方为履行本合同而发生的所有费用均应包含在合同价款中，甲方不再另行支付其他任何费用。</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3. 履行合同的时间、地点和方式</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3.1 乙方应当在约定的时间、地点，按照约定方式履行合同。</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4. 甲方的权利和义务</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4.1 签署合同后，甲方应确定项目负责人（或项目联系人），负责与本合同有关的事务。甲方有权对乙方的履约行为进行检查，并及时确认乙方提交的事项。甲方应当配合乙方完成相关项目实施工作。</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4.2 甲方有权要求乙方按时提交各阶段有关安排计划，并有权定期核对乙方提供货物数量、规格、质量等内容。甲方有权督促乙方工作并要求乙方更换不符合要求的货物。</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4.3 甲方有权要求乙方对缺陷部分予以修复，并按合同约定享有货物保修及其他合同约定的权利。</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4.4 甲方应当按照合同约定及时对交付的货物进行验收，未在</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约定的期限内对乙方履约提出任何异议或者向乙方作出任何说明的，视为验收通过。</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4.5 甲方应当根据合同约定及时向乙方支付合同价款，不得以内部人员变更、履行内部付款流程等为由，拒绝或迟延支付。</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4.6 国家法律法规规定及</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约定应由甲方承担的其他义务和责任。</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5. 乙方的权利和义务</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5.1 签署合同后，乙方应确定项目负责人（或项目联系人），负责与本合同有关的事务。</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5.3乙方有权根据合同约定向甲方收取合同价款。</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5.4国家法律法规规定及</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约定应由乙方承担的其他义务和责任。</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6.合同履行</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6.1 甲乙双方应当按照</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约定顺序履行合同义务；如果没有先后顺序的，应当同时履行。</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6.2 甲乙双方按照合同约定顺序履行合同义务时，应当先履行一方未履行的，后履行一方有权拒绝其履行请求。先履行一方履行不符合约定的，后履行一方有权拒绝其相应的履行请求。</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7. 货物包装、运输、保险和交付要求</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7.1 本合同涉及商品包装、快递包装的，除</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另有约定外，包装应适应远距离运输、防潮、防震、防锈和防野蛮装卸等要求，确保货物安全无损地运抵</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约定的指定现场。</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7.2 除</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另有约定外，乙方负责办理将货物运抵本合同规定的交货地点，并装卸、交付至甲方的一切运输事项，相关费用应包含在合同价款中。</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7.3 货物保险要求按</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规定执行。</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7.5 乙方在运输到达之前应提前通知甲方，并提示货物运输装卸的注意事项，甲方配合乙方做好货物的接收工作。</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7.6 如因包装、运输问题导致货物损毁、丢失或者品质下降，甲方有权要求降价、换货、拒收部分或整批货物，由此产生的费用和损失，均由乙方承担。</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8. 质量标准和保证</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8.1 质量标准</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（2）采用中华人民共和国法定计量单位。</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（3）乙方所提供的货物应符合国家有关安全、环保、卫生的规定。</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（4）乙方应向甲方提交所提供货物的技术文件，包括相应的中文技术文件，如：产品目录、图纸、操作手册、使用说明、维护手册或服务指南等。上述文件应包装好随货物一同发运。</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8.2 保证</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（2）在质量保证期内所发现的缺陷，甲方应尽快以书面形式通知乙方。</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（3）乙方收到通知后，应在【政府采购合同专用条款】规定的响应时间内以合理的速度免费维修或更换有缺陷的货物或部件。</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（4）在质量保证期内，如果货物的质量或规格与合同不符，或证实货物是有缺陷的，包括潜在的缺陷或使用不符合要求的材料等，甲方可以根据本合同第15.1条规定以书面形式追究乙方的违约责任。</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（5）乙方在约定的时间内未能弥补缺陷，甲方可采取必要的补救措施，但其风险和费用将由乙方承担，甲方根据合同约定对乙方行使的其他权利不受影响。</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9. 权利瑕疵担保</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9.1 乙方保证对其出售的货物享有合法的权利。</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9.2 乙方保证在交付的货物上不存在抵押权等担保物权。</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9.3 如甲方使用上述货物构成对第三人侵权的，则由乙方承担全部责任。</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10. 知识产权保护</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11. 保密义务</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中约定。</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12. 合同价款支付</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12.1 合同价款支付按照国库集中支付制度及财政管理相关规定执行。</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中约定。</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13. 履约保证金</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13.1 乙方应当以支票、汇票、本票或者金融机构、担保机构出具的保函等非现金形式提交。</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13.2 如果乙方出现</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约定情形的，履约保证金不予退还；如果乙方未能按合同约定全面履行义务，甲方有权从履约保证金中取得补偿或赔偿，且不影响甲方要求乙方承担合同约定的超过履约保证金的违约责任的权利。</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13.3 甲方在项目通过验收后按照</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规定的时间内将履约保证金退还乙方；逾期退还的，乙方可要求甲方支付违约金，违约金按照</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规定支付。</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14. 售后服务</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14.1 除项目不涉及或采购活动中明确约定无须承担外，乙方还应提供下列服务：</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（1）货物的现场移动、安装、调试、启动监督及技术支持；</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（2）提供货物组装和维修所需的专用工具和辅助材料；</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（3）在</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约定的期限内对所有的货物实施运行监督、维修，但前提条件是该服务并不能免除乙方在质量保证期内所承担的义务；</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（4）在制造商所在地或指定现场就货物的安装、启动、运营、维护、废弃处置等对甲方操作人员进行培训；</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（5）依照法律、行政法规的规定或者按照</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约定，货物在有效使用年限届满后应予回收的，乙方负有自行或者委托第三人对货物予以回收的义务；</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（6）</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规定由乙方提供的其他服务。</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14.2 乙方提供的售后服务的费用已包含在合同价款中，甲方不再另行支付。</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15. 违约责任</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15.1质量瑕疵的违约责任</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乙方提供的产品不符合合同约定的质量标准或存在产品质量缺陷，甲方有权要求乙方根据</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要求及时修理、重作、更换，并承担由此给甲方造成的损失。</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15.2 迟延交货的违约责任</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（2）如果乙方没有按照合同规定的时间交货和提供相关服务，甲方有权从货款中扣除误期赔偿费而不影响合同项下的其他补救方法，赔偿费按</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规定执行。如果涉及公共利益，且赔偿金额无法弥补公共利益损失，甲方可要求继续履行或者采取其他补救措施。</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15.3 迟延支付的违约责任</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甲方存在迟延支付乙方合同款项的，应当承担</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规定的逾期付款利息。</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15.4其他违约责任根据项目实际需要按</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规定执行。</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16.合同变更、中止与终止</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16.1合同的变更</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政府采购合同履行中，在不改变合同其他条款的前提下，甲方可以在合同价款10%的范围内追加与合同标的相同的货物，并就此与乙方协商一致后签订补充协议。</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16.2合同的中止</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（1）合同履行过程中因供应商就采购文件、采购过程或结果提起投诉的，甲方认为有必要的，可以中止合同的履行。</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（3）乙方分立、合并或者变更住所的，应当及时以书面形式告知甲方。乙方没有及时告知甲方，致使合同履行发生困难的，甲方可以中止合同履行并要求乙方承担由此给甲方造成的损失。</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（4）甲方不得以行政区划调整、政府换届、机构或者职能调整以及相关责任人更替为由中止合同。</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16.3合同的终止</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（1）合同因有效期限届满而终止；</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（2）乙方未按合同约定履行，构成根本性违约的，甲方有权终止合同，并追究乙方的违约责任。</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16.4 涉及国家利益、社会公共利益的情形</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政府采购合同继续履行将损害国家利益和社会公共利益的，双方当事人应当变更、中止或者终止合同。有过错的一方应当承担赔偿责任，双方都有过错的，各自承担相应的责任。</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17. 合同分包</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17.1 乙方不得将合同转包给其他供应商。涉及合同分包的，乙方应根据采购文件和投标（响应）文件规定进行合同分包。</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17.2 乙方执行政府采购政策向中小企业依法分包的，乙方应当按采购文件和投标（响应）文件签订分包意向协议，分包意向协议属于本合同组成部分。</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18. 不可抗力</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18.1 不可抗力是指合同双方不能预见、不能避免且不能克服的客观情况。</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18.2 任何一方对由于不可抗力造成的部分或全部不能履行合同不承担违约责任。但迟延履行后发生不可抗力的，不能免除责任。</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19. 解决争议的方法</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19.1 因本合同及合同有关事项发生的争议，由甲乙双方友好协商解决。协商不成时，可以向有关组织申请调解。合同一方或双方不愿调解或调解不成的，可以通过仲裁或诉讼的方式解决争议。</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19.2 选择仲裁的，应在</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中明确仲裁机构及仲裁地；通过诉讼方式解决的，可以在</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中进一步约定选择与争议有实际联系的地点的人民法院管辖，但管辖法院的约定不得违反级别管辖和专属管辖的规定。</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19.3 如甲乙双方有争议的事项不影响合同其他部分的履行，在争议解决期间，合同其他部分应当继续履行。</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20. 政府采购政策</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20.1 本合同应当按照规定执行政府采购政策。</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20.2 本合同依法执行政府采购政策的方式和内容，属于合同履约验收的范围。甲乙双方未按规定要求执行政府采购政策造成损失的，有过错的一方应当承担赔偿责任，双方都有过错的，各自承担相应的责任。</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21. 法律适用</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21.1 本合同的订立、生效、解释、履行及与本合同有关的争议解决，均适用法律、行政法规。</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21.2 本合同条款与法律、行政法规的强制性规定不一致的，双方当事人应按照法律、行政法规的强制性规定修改本合同的相关条款。</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22. 通知</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22.1 本合同任何一方向对方发出的通知、信件、数据电文等，应当发送至本合同第一部分《政府采购合同协议书》所约定的通讯地址、联系人、联系电话或电子邮箱。</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22.2 一方当事人变更名称、住所、联系人、联系电话或电子邮箱等信息的，应当在变更后3日内及时书面通知对方，对方实际收到变更通知前的送达仍为有效送达。</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22.3本合同一方给另一方的通知均应采用书面形式，传真或快递送到本合同中规定的对方的地址和办理签收手续。</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22.4通知以送达之日或通知书中规定的生效之日起生效，两者中以较迟之日为准。</w:t>
      </w:r>
    </w:p>
    <w:p>
      <w:pPr>
        <w:pStyle w:val="7"/>
        <w:jc w:val="left"/>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23.合同未尽事项</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23.1合同未尽事项见</w:t>
      </w:r>
      <w:r>
        <w:rPr>
          <w:rFonts w:hint="eastAsia" w:ascii="宋体" w:hAnsi="宋体" w:eastAsia="宋体" w:cs="宋体"/>
          <w:b/>
          <w:color w:val="auto"/>
          <w:highlight w:val="none"/>
        </w:rPr>
        <w:t>【政府采购合同专用条款】</w:t>
      </w:r>
      <w:r>
        <w:rPr>
          <w:rFonts w:hint="eastAsia" w:ascii="宋体" w:hAnsi="宋体" w:eastAsia="宋体" w:cs="宋体"/>
          <w:color w:val="auto"/>
          <w:highlight w:val="none"/>
        </w:rPr>
        <w:t>。</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23.2 合同附件与合同正文具有同等的法律效力。</w:t>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第三节 政府采购合同专用条款</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第1.2（6）项</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联合体具体要求</w:t>
            </w:r>
          </w:p>
        </w:tc>
        <w:tc>
          <w:tcPr>
            <w:tcW w:w="2769" w:type="dxa"/>
          </w:tcPr>
          <w:p>
            <w:pPr>
              <w:pStyle w:val="7"/>
              <w:jc w:val="left"/>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第1.2（7）项</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其他术语解释</w:t>
            </w:r>
          </w:p>
        </w:tc>
        <w:tc>
          <w:tcPr>
            <w:tcW w:w="2769" w:type="dxa"/>
          </w:tcPr>
          <w:p>
            <w:pPr>
              <w:pStyle w:val="7"/>
              <w:jc w:val="left"/>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第4.4款</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履约验收中甲方提出异议或作出说明的期限</w:t>
            </w:r>
          </w:p>
        </w:tc>
        <w:tc>
          <w:tcPr>
            <w:tcW w:w="2769" w:type="dxa"/>
          </w:tcPr>
          <w:p>
            <w:pPr>
              <w:pStyle w:val="7"/>
              <w:jc w:val="left"/>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第4.6款</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约定甲方承担的其他义务和责任</w:t>
            </w:r>
          </w:p>
        </w:tc>
        <w:tc>
          <w:tcPr>
            <w:tcW w:w="2769" w:type="dxa"/>
          </w:tcPr>
          <w:p>
            <w:pPr>
              <w:pStyle w:val="7"/>
              <w:jc w:val="left"/>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第5.4款</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约定乙方承担的其他义务和责任</w:t>
            </w:r>
          </w:p>
        </w:tc>
        <w:tc>
          <w:tcPr>
            <w:tcW w:w="2769" w:type="dxa"/>
          </w:tcPr>
          <w:p>
            <w:pPr>
              <w:pStyle w:val="7"/>
              <w:jc w:val="left"/>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第6.1款</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履行合同义务的顺序</w:t>
            </w:r>
          </w:p>
        </w:tc>
        <w:tc>
          <w:tcPr>
            <w:tcW w:w="2769" w:type="dxa"/>
          </w:tcPr>
          <w:p>
            <w:pPr>
              <w:pStyle w:val="7"/>
              <w:jc w:val="left"/>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第7.1款</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包装特殊要求</w:t>
            </w:r>
          </w:p>
        </w:tc>
        <w:tc>
          <w:tcPr>
            <w:tcW w:w="2769" w:type="dxa"/>
          </w:tcPr>
          <w:p>
            <w:pPr>
              <w:pStyle w:val="7"/>
              <w:jc w:val="left"/>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pPr>
              <w:rPr>
                <w:rFonts w:hint="eastAsia" w:ascii="宋体" w:hAnsi="宋体" w:eastAsia="宋体" w:cs="宋体"/>
                <w:color w:val="auto"/>
                <w:highlight w:val="none"/>
              </w:rPr>
            </w:pP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指定现场</w:t>
            </w:r>
          </w:p>
        </w:tc>
        <w:tc>
          <w:tcPr>
            <w:tcW w:w="2769" w:type="dxa"/>
          </w:tcPr>
          <w:p>
            <w:pPr>
              <w:pStyle w:val="7"/>
              <w:jc w:val="left"/>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第7.2款</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运输特殊要求</w:t>
            </w:r>
          </w:p>
        </w:tc>
        <w:tc>
          <w:tcPr>
            <w:tcW w:w="2769" w:type="dxa"/>
          </w:tcPr>
          <w:p>
            <w:pPr>
              <w:pStyle w:val="7"/>
              <w:jc w:val="left"/>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第7.3款</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保险要求</w:t>
            </w:r>
          </w:p>
        </w:tc>
        <w:tc>
          <w:tcPr>
            <w:tcW w:w="2769" w:type="dxa"/>
          </w:tcPr>
          <w:p>
            <w:pPr>
              <w:pStyle w:val="7"/>
              <w:jc w:val="left"/>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第8.2（1）项</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质量保证期</w:t>
            </w:r>
          </w:p>
        </w:tc>
        <w:tc>
          <w:tcPr>
            <w:tcW w:w="2769"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第8.2（3）项</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货物质量缺陷响应时间</w:t>
            </w:r>
          </w:p>
        </w:tc>
        <w:tc>
          <w:tcPr>
            <w:tcW w:w="2769"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第11.1款</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其他应当保密的信息</w:t>
            </w:r>
          </w:p>
        </w:tc>
        <w:tc>
          <w:tcPr>
            <w:tcW w:w="2769"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第12.2款</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合同价款支付时间</w:t>
            </w:r>
          </w:p>
        </w:tc>
        <w:tc>
          <w:tcPr>
            <w:tcW w:w="2769"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第13.2款</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履约保证金不予退还的情形</w:t>
            </w:r>
          </w:p>
        </w:tc>
        <w:tc>
          <w:tcPr>
            <w:tcW w:w="2769"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第13.3款</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履约保证金退还时间及逾期退还的违约金</w:t>
            </w:r>
          </w:p>
        </w:tc>
        <w:tc>
          <w:tcPr>
            <w:tcW w:w="2769"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第14.1（3）项</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运行监督、维修期限</w:t>
            </w:r>
          </w:p>
        </w:tc>
        <w:tc>
          <w:tcPr>
            <w:tcW w:w="2769"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第14.1（5）项</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货物回收的约定</w:t>
            </w:r>
          </w:p>
        </w:tc>
        <w:tc>
          <w:tcPr>
            <w:tcW w:w="2769"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第14.1（6）项</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乙方提供的其他服务</w:t>
            </w:r>
          </w:p>
        </w:tc>
        <w:tc>
          <w:tcPr>
            <w:tcW w:w="2769"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第15.1款</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修理、重作、更换相关具体规定</w:t>
            </w:r>
          </w:p>
        </w:tc>
        <w:tc>
          <w:tcPr>
            <w:tcW w:w="2769"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第15.2（2）项</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迟延交货赔偿费</w:t>
            </w:r>
          </w:p>
        </w:tc>
        <w:tc>
          <w:tcPr>
            <w:tcW w:w="2769"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第15.3款</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逾期付款利息</w:t>
            </w:r>
          </w:p>
        </w:tc>
        <w:tc>
          <w:tcPr>
            <w:tcW w:w="2769"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第15.4款</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其他违约责任</w:t>
            </w:r>
          </w:p>
        </w:tc>
        <w:tc>
          <w:tcPr>
            <w:tcW w:w="2769"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第19.2款</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解决争议的方法</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因本合同及合同有关事项发生的争议，按下列第____ 种方式解决：</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（1）向 __________________仲裁委员会申请仲裁，仲裁地点为 ____________ ；</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（2）向__________________人民法院起诉。</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第二节 第23.1款</w:t>
            </w:r>
          </w:p>
        </w:tc>
        <w:tc>
          <w:tcPr>
            <w:tcW w:w="2769"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其他专用条款</w:t>
            </w:r>
          </w:p>
        </w:tc>
        <w:tc>
          <w:tcPr>
            <w:tcW w:w="2769" w:type="dxa"/>
          </w:tcPr>
          <w:p>
            <w:pPr>
              <w:rPr>
                <w:rFonts w:hint="eastAsia" w:ascii="宋体" w:hAnsi="宋体" w:eastAsia="宋体" w:cs="宋体"/>
                <w:color w:val="auto"/>
                <w:highlight w:val="none"/>
              </w:rPr>
            </w:pPr>
          </w:p>
        </w:tc>
      </w:tr>
    </w:tbl>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第七章 电子投标文件格式</w:t>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编制说明</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1、除招标文件另有规定外，本章中：</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1.1涉及投标人的“全称”：</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（1）不接受联合体投标的，指投标人的全称。</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（2）接受联合体投标且投标人为联合体的，指牵头方的全称并加注（联合体牵头方），即应表述为：“牵头方的全称（联合体牵头方）”。</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1.2涉及投标人“加盖单位公章”：</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（1）不接受联合体投标的，指加盖投标人的单位公章。</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（2）接受联合体投标且投标人为联合体的，指加盖联合体牵头方的单位公章。</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1.3涉及“投标人代表签字”：</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（1）不接受联合体投标的，指由投标人的单位负责人或其授权的委托代理人签字，由委托代理人签字的，应提供“单位授权书”。</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（2）接受联合体投标且投标人为联合体的，指由联合体牵头方的单位负责人或其授权的委托代理人签字，由委托代理人签字的，应提供“单位授权书”。</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1.4“其他组织”指合伙企业、非企业专业服务机构、个体工商户、农村承包经营户等。</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1.5“自然人”指具有完全民事行为能力、能够承担民事责任和义务的中国公民。</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2、除招标文件另有规定外，本章中“投标人的资格及资信证明文件”：</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2.1投标人应按照招标文件第四章第1.3条第（2）款规定及本章规定进行编制，如有必要，可增加附页，附页作为资格及资信文件的组成部分。</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2.2接受联合体投标且投标人为联合体的，联合体中的各方均应按照本章第2.1条规定提交相应的全部资料。</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3、投标人对电子投标文件的索引应编制页码。</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4、本章提供格式仅供参考，投标人应根据自身实际情况制作电子投标文件。</w:t>
      </w:r>
    </w:p>
    <w:p>
      <w:pPr>
        <w:pStyle w:val="7"/>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封面格式(资格及资信证明部分)</w:t>
      </w:r>
    </w:p>
    <w:p>
      <w:pPr>
        <w:pStyle w:val="7"/>
        <w:jc w:val="center"/>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福建省政府采购投标文件</w:t>
      </w:r>
    </w:p>
    <w:p>
      <w:pPr>
        <w:pStyle w:val="7"/>
        <w:jc w:val="center"/>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（资格及资信证明部分）</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pPr>
        <w:pStyle w:val="7"/>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（填写正本或副本）</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（项目名称：（由投标人填写）</w:t>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（备案编号：（由投标人填写）</w:t>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（项目编号：（由投标人填写）</w:t>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（所投采购包：（由投标人填写）</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投标人：（填写“全称”）</w:t>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（由投标人填写）年（由投标人填写）月</w:t>
      </w:r>
    </w:p>
    <w:p>
      <w:pPr>
        <w:pStyle w:val="7"/>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索引</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一、投标函</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二、投标人的资格及资信证明文件</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三、投标保证金</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资格及资信证明部分中不得出现报价部分的全部或部分的投标报价信息（或组成资料），否则资格审查不合格。（联合体协议及分包意向协议中的比例规定，不适用本条款）</w:t>
      </w:r>
    </w:p>
    <w:p>
      <w:pPr>
        <w:pStyle w:val="7"/>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一、投标函</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兹收到贵单位关于</w:t>
      </w:r>
      <w:r>
        <w:rPr>
          <w:rFonts w:hint="eastAsia" w:ascii="宋体" w:hAnsi="宋体" w:eastAsia="宋体" w:cs="宋体"/>
          <w:color w:val="auto"/>
          <w:highlight w:val="none"/>
          <w:u w:val="single"/>
        </w:rPr>
        <w:t xml:space="preserve">（填写“项目名称”） </w:t>
      </w:r>
      <w:r>
        <w:rPr>
          <w:rFonts w:hint="eastAsia" w:ascii="宋体" w:hAnsi="宋体" w:eastAsia="宋体" w:cs="宋体"/>
          <w:color w:val="auto"/>
          <w:highlight w:val="none"/>
        </w:rPr>
        <w:t>项目</w:t>
      </w:r>
      <w:r>
        <w:rPr>
          <w:rFonts w:hint="eastAsia" w:ascii="宋体" w:hAnsi="宋体" w:eastAsia="宋体" w:cs="宋体"/>
          <w:color w:val="auto"/>
          <w:highlight w:val="none"/>
          <w:u w:val="single"/>
        </w:rPr>
        <w:t xml:space="preserve">（项目编号：　　　　　） </w:t>
      </w:r>
      <w:r>
        <w:rPr>
          <w:rFonts w:hint="eastAsia" w:ascii="宋体" w:hAnsi="宋体" w:eastAsia="宋体" w:cs="宋体"/>
          <w:color w:val="auto"/>
          <w:highlight w:val="none"/>
        </w:rPr>
        <w:t>的投标邀请，本投标人代表</w:t>
      </w:r>
      <w:r>
        <w:rPr>
          <w:rFonts w:hint="eastAsia" w:ascii="宋体" w:hAnsi="宋体" w:eastAsia="宋体" w:cs="宋体"/>
          <w:color w:val="auto"/>
          <w:highlight w:val="none"/>
          <w:u w:val="single"/>
        </w:rPr>
        <w:t xml:space="preserve">（填写“全名”） </w:t>
      </w:r>
      <w:r>
        <w:rPr>
          <w:rFonts w:hint="eastAsia" w:ascii="宋体" w:hAnsi="宋体" w:eastAsia="宋体" w:cs="宋体"/>
          <w:color w:val="auto"/>
          <w:highlight w:val="none"/>
        </w:rPr>
        <w:t>已获得我方正式授权并代表投标人（填写“全称”）参加投标，并提交电子投标文件。我方提交的全部电子投标文件由下述部分组成：</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（1）资格及资信证明部分</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①投标函</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②投标人的资格及资信证明文件</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③投标保证金</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（2）报价部分</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①开标（报价）一览表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②投标（响应）报价明细表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③招标文件规定的价格扣除证明材料（若有）</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④招标文件规定的加分证明材料（若有）</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（3）技术商务部分</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①标的说明一览表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②技术和服务要求响应表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③商务条件响应表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④投标人提交的其他资料（若有）</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根据本函，本投标人代表宣布我方保证遵守招标文件的全部规定，同时：</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1、确认：</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1.1所投采购包的投标报价详见“开标（报价）一览表”及“投标（响应）报价明细表”。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1.2我方已详细审查全部招标文件[包括但不限于：有关附件（若有）、澄清或修改（若有）等]，并自行承担因对全部招标文件理解不正确或误解而产生的相应后果和责任。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2、承诺及声明：</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2.1我方具备招标文件第一章载明的“投标人的资格要求”且符合招标文件第三章载明的“二、投标人”之规定，否则投标无效。</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2.2我方提交的电子投标文件各组成部分的全部内容及资料是不可割离且真实、有效、准确、完整和不具有任何误导性的，否则产生不利后果由我方承担责任。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2.3我方提供的标的价格不高于同期市场价格，否则产生不利后果由我方承担责任。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2.4投标保证金：若出现招标文件第三章规定的不予退还情形，同意贵单位不予退还。</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2.5投标有效期：按照招标文件第三章规定执行，并在招标文件第二章载明的期限内保持有效。</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2.6若中标，将按照招标文件、我方电子投标文件及政府采购合同履行责任和义务。</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2.7若贵单位要求，我方同意提供与本项目投标有关的一切资料、数据或文件，并完全理解贵单位不一定要接受最低的投标报价或收到的任何投标。</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2.8我方承诺遵守《中华人民共和国劳动合同法》有关规定和《中华人民共和国妇女权益保障法 》中关于“劳动和社会保障权益”的有关要求。</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2.9我方承诺电子投标文件所提供的全部资料真实可靠，并接受评标委员会、采购人、采购代理机构、监管部门进一步审查其中任何资料真实性的要求。</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2.10除招标文件另有规定外，对于贵单位按照下述联络方式发出的任何信息或通知，均视为我方已收悉前述信息或通知的全部内容：</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通信地址：</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邮编：</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联系方法：（包括但不限于：联系人、联系电话、手机、传真、电子邮箱等）</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投标人：（全称并加盖单位公章）</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日期： 年 月 日</w:t>
      </w:r>
    </w:p>
    <w:p>
      <w:pPr>
        <w:pStyle w:val="7"/>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二、投标人的资格及资信证明文件</w:t>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二-1单位授权书（若有）</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我方的单位负责人</w:t>
      </w:r>
      <w:r>
        <w:rPr>
          <w:rFonts w:hint="eastAsia" w:ascii="宋体" w:hAnsi="宋体" w:eastAsia="宋体" w:cs="宋体"/>
          <w:color w:val="auto"/>
          <w:highlight w:val="none"/>
          <w:u w:val="single"/>
        </w:rPr>
        <w:t>（填写“单位负责人全名”）</w:t>
      </w:r>
      <w:r>
        <w:rPr>
          <w:rFonts w:hint="eastAsia" w:ascii="宋体" w:hAnsi="宋体" w:eastAsia="宋体" w:cs="宋体"/>
          <w:color w:val="auto"/>
          <w:highlight w:val="none"/>
        </w:rPr>
        <w:t>授权</w:t>
      </w:r>
      <w:r>
        <w:rPr>
          <w:rFonts w:hint="eastAsia" w:ascii="宋体" w:hAnsi="宋体" w:eastAsia="宋体" w:cs="宋体"/>
          <w:color w:val="auto"/>
          <w:highlight w:val="none"/>
          <w:u w:val="single"/>
        </w:rPr>
        <w:t>（填写“投标人代表全名”）</w:t>
      </w:r>
      <w:r>
        <w:rPr>
          <w:rFonts w:hint="eastAsia" w:ascii="宋体" w:hAnsi="宋体" w:eastAsia="宋体" w:cs="宋体"/>
          <w:color w:val="auto"/>
          <w:highlight w:val="none"/>
        </w:rPr>
        <w:t>为投标人代表，代表我方参加</w:t>
      </w:r>
      <w:r>
        <w:rPr>
          <w:rFonts w:hint="eastAsia" w:ascii="宋体" w:hAnsi="宋体" w:eastAsia="宋体" w:cs="宋体"/>
          <w:color w:val="auto"/>
          <w:highlight w:val="none"/>
          <w:u w:val="single"/>
        </w:rPr>
        <w:t>（填写“项目名称”）</w:t>
      </w:r>
      <w:r>
        <w:rPr>
          <w:rFonts w:hint="eastAsia" w:ascii="宋体" w:hAnsi="宋体" w:eastAsia="宋体" w:cs="宋体"/>
          <w:color w:val="auto"/>
          <w:highlight w:val="none"/>
        </w:rPr>
        <w:t>项目（项目编号：</w:t>
      </w:r>
      <w:r>
        <w:rPr>
          <w:rFonts w:hint="eastAsia" w:ascii="宋体" w:hAnsi="宋体" w:eastAsia="宋体" w:cs="宋体"/>
          <w:color w:val="auto"/>
          <w:highlight w:val="none"/>
          <w:u w:val="single"/>
        </w:rPr>
        <w:t>　　　　　</w:t>
      </w:r>
      <w:r>
        <w:rPr>
          <w:rFonts w:hint="eastAsia" w:ascii="宋体" w:hAnsi="宋体" w:eastAsia="宋体" w:cs="宋体"/>
          <w:color w:val="auto"/>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投标人代表无转委权。特此授权。</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（以下无正文）</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单位负责人：</w:t>
      </w:r>
      <w:r>
        <w:rPr>
          <w:rFonts w:hint="eastAsia" w:ascii="宋体" w:hAnsi="宋体" w:eastAsia="宋体" w:cs="宋体"/>
          <w:color w:val="auto"/>
          <w:highlight w:val="none"/>
          <w:u w:val="single"/>
        </w:rPr>
        <w:t>　　　　　</w:t>
      </w:r>
      <w:r>
        <w:rPr>
          <w:rFonts w:hint="eastAsia" w:ascii="宋体" w:hAnsi="宋体" w:eastAsia="宋体" w:cs="宋体"/>
          <w:color w:val="auto"/>
          <w:highlight w:val="none"/>
        </w:rPr>
        <w:t>身份证号：</w:t>
      </w:r>
      <w:r>
        <w:rPr>
          <w:rFonts w:hint="eastAsia" w:ascii="宋体" w:hAnsi="宋体" w:eastAsia="宋体" w:cs="宋体"/>
          <w:color w:val="auto"/>
          <w:highlight w:val="none"/>
          <w:u w:val="single"/>
        </w:rPr>
        <w:t>　　　　　</w:t>
      </w:r>
      <w:r>
        <w:rPr>
          <w:rFonts w:hint="eastAsia" w:ascii="宋体" w:hAnsi="宋体" w:eastAsia="宋体" w:cs="宋体"/>
          <w:color w:val="auto"/>
          <w:highlight w:val="none"/>
        </w:rPr>
        <w:t>手机：</w:t>
      </w:r>
      <w:r>
        <w:rPr>
          <w:rFonts w:hint="eastAsia" w:ascii="宋体" w:hAnsi="宋体" w:eastAsia="宋体" w:cs="宋体"/>
          <w:color w:val="auto"/>
          <w:highlight w:val="none"/>
          <w:u w:val="single"/>
        </w:rPr>
        <w:t>　　　　　</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投标人代表：</w:t>
      </w:r>
      <w:r>
        <w:rPr>
          <w:rFonts w:hint="eastAsia" w:ascii="宋体" w:hAnsi="宋体" w:eastAsia="宋体" w:cs="宋体"/>
          <w:color w:val="auto"/>
          <w:highlight w:val="none"/>
          <w:u w:val="single"/>
        </w:rPr>
        <w:t>　　　　　</w:t>
      </w:r>
      <w:r>
        <w:rPr>
          <w:rFonts w:hint="eastAsia" w:ascii="宋体" w:hAnsi="宋体" w:eastAsia="宋体" w:cs="宋体"/>
          <w:color w:val="auto"/>
          <w:highlight w:val="none"/>
        </w:rPr>
        <w:t>身份证号：</w:t>
      </w:r>
      <w:r>
        <w:rPr>
          <w:rFonts w:hint="eastAsia" w:ascii="宋体" w:hAnsi="宋体" w:eastAsia="宋体" w:cs="宋体"/>
          <w:color w:val="auto"/>
          <w:highlight w:val="none"/>
          <w:u w:val="single"/>
        </w:rPr>
        <w:t>　　　　　</w:t>
      </w:r>
      <w:r>
        <w:rPr>
          <w:rFonts w:hint="eastAsia" w:ascii="宋体" w:hAnsi="宋体" w:eastAsia="宋体" w:cs="宋体"/>
          <w:color w:val="auto"/>
          <w:highlight w:val="none"/>
        </w:rPr>
        <w:t>手机：</w:t>
      </w:r>
      <w:r>
        <w:rPr>
          <w:rFonts w:hint="eastAsia" w:ascii="宋体" w:hAnsi="宋体" w:eastAsia="宋体" w:cs="宋体"/>
          <w:color w:val="auto"/>
          <w:highlight w:val="none"/>
          <w:u w:val="single"/>
        </w:rPr>
        <w:t>　　　　　</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授权方</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签署日期： 年 月 日</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附：单位负责人、投标人代表的身份证正反面复印件</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要求：真实有效且内容完整、清晰、整洁。</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1、企业（银行、保险、石油石化、电力、电信等行业除外）、事业单位和社会团体法人的“单位负责人”指法定代表人，即与实际提交的“营业执照等证明文件”载明的一致。</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3、投标人（自然人除外）：若投标人代表为单位授权的委托代理人，应提供本授权书；若投标人代表为单位负责人，应在此项下提交其身份证正反面复印件，可不提供本授权书。</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4、投标人为自然人的，可不填写本授权书。</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二-2 证明材料</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二-2-1 福建省政府采购供应商资格承诺函</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7"/>
        <w:ind w:firstLine="960"/>
        <w:jc w:val="left"/>
        <w:rPr>
          <w:rFonts w:hint="eastAsia" w:ascii="宋体" w:hAnsi="宋体" w:eastAsia="宋体" w:cs="宋体"/>
          <w:color w:val="auto"/>
          <w:highlight w:val="none"/>
        </w:rPr>
      </w:pPr>
      <w:r>
        <w:rPr>
          <w:rFonts w:hint="eastAsia" w:ascii="宋体" w:hAnsi="宋体" w:eastAsia="宋体" w:cs="宋体"/>
          <w:color w:val="auto"/>
          <w:highlight w:val="none"/>
        </w:rPr>
        <w:t>单位名称(自然人姓名):</w:t>
      </w:r>
    </w:p>
    <w:p>
      <w:pPr>
        <w:pStyle w:val="7"/>
        <w:ind w:firstLine="960"/>
        <w:jc w:val="left"/>
        <w:rPr>
          <w:rFonts w:hint="eastAsia" w:ascii="宋体" w:hAnsi="宋体" w:eastAsia="宋体" w:cs="宋体"/>
          <w:color w:val="auto"/>
          <w:highlight w:val="none"/>
        </w:rPr>
      </w:pPr>
      <w:r>
        <w:rPr>
          <w:rFonts w:hint="eastAsia" w:ascii="宋体" w:hAnsi="宋体" w:eastAsia="宋体" w:cs="宋体"/>
          <w:color w:val="auto"/>
          <w:highlight w:val="none"/>
        </w:rPr>
        <w:t>统一社会信用代码(自然人身份证号码):</w:t>
      </w:r>
    </w:p>
    <w:p>
      <w:pPr>
        <w:pStyle w:val="7"/>
        <w:ind w:firstLine="960"/>
        <w:jc w:val="left"/>
        <w:rPr>
          <w:rFonts w:hint="eastAsia" w:ascii="宋体" w:hAnsi="宋体" w:eastAsia="宋体" w:cs="宋体"/>
          <w:color w:val="auto"/>
          <w:highlight w:val="none"/>
        </w:rPr>
      </w:pPr>
      <w:r>
        <w:rPr>
          <w:rFonts w:hint="eastAsia" w:ascii="宋体" w:hAnsi="宋体" w:eastAsia="宋体" w:cs="宋体"/>
          <w:color w:val="auto"/>
          <w:highlight w:val="none"/>
        </w:rPr>
        <w:t>法定代表人(负责人):</w:t>
      </w:r>
    </w:p>
    <w:p>
      <w:pPr>
        <w:pStyle w:val="7"/>
        <w:ind w:firstLine="960"/>
        <w:jc w:val="left"/>
        <w:rPr>
          <w:rFonts w:hint="eastAsia" w:ascii="宋体" w:hAnsi="宋体" w:eastAsia="宋体" w:cs="宋体"/>
          <w:color w:val="auto"/>
          <w:highlight w:val="none"/>
        </w:rPr>
      </w:pPr>
      <w:r>
        <w:rPr>
          <w:rFonts w:hint="eastAsia" w:ascii="宋体" w:hAnsi="宋体" w:eastAsia="宋体" w:cs="宋体"/>
          <w:color w:val="auto"/>
          <w:highlight w:val="none"/>
        </w:rPr>
        <w:t>联系地址和电话:</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我单位(本人)自愿参加本次政府采购活动，严格遵守《中华人民共和国政府采购法》及相关法律法规，坚守公开、公平公正和诚实信用等原则，依法诚信经营，并郑重承诺:</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一、我单位(本人)具备采购文件要求以及《中华人民共和国政府采购法》第二十二条规定的条件:</w:t>
      </w:r>
    </w:p>
    <w:p>
      <w:pPr>
        <w:pStyle w:val="7"/>
        <w:ind w:firstLine="960"/>
        <w:jc w:val="left"/>
        <w:rPr>
          <w:rFonts w:hint="eastAsia" w:ascii="宋体" w:hAnsi="宋体" w:eastAsia="宋体" w:cs="宋体"/>
          <w:color w:val="auto"/>
          <w:highlight w:val="none"/>
        </w:rPr>
      </w:pPr>
      <w:r>
        <w:rPr>
          <w:rFonts w:hint="eastAsia" w:ascii="宋体" w:hAnsi="宋体" w:eastAsia="宋体" w:cs="宋体"/>
          <w:color w:val="auto"/>
          <w:highlight w:val="none"/>
        </w:rPr>
        <w:t>1.具有独立承担民事责任的能力;</w:t>
      </w:r>
    </w:p>
    <w:p>
      <w:pPr>
        <w:pStyle w:val="7"/>
        <w:ind w:firstLine="960"/>
        <w:jc w:val="left"/>
        <w:rPr>
          <w:rFonts w:hint="eastAsia" w:ascii="宋体" w:hAnsi="宋体" w:eastAsia="宋体" w:cs="宋体"/>
          <w:color w:val="auto"/>
          <w:highlight w:val="none"/>
        </w:rPr>
      </w:pPr>
      <w:r>
        <w:rPr>
          <w:rFonts w:hint="eastAsia" w:ascii="宋体" w:hAnsi="宋体" w:eastAsia="宋体" w:cs="宋体"/>
          <w:color w:val="auto"/>
          <w:highlight w:val="none"/>
        </w:rPr>
        <w:t>2.具有良好的商业信誉和健全的财务会计制度;</w:t>
      </w:r>
    </w:p>
    <w:p>
      <w:pPr>
        <w:pStyle w:val="7"/>
        <w:ind w:firstLine="960"/>
        <w:jc w:val="left"/>
        <w:rPr>
          <w:rFonts w:hint="eastAsia" w:ascii="宋体" w:hAnsi="宋体" w:eastAsia="宋体" w:cs="宋体"/>
          <w:color w:val="auto"/>
          <w:highlight w:val="none"/>
        </w:rPr>
      </w:pPr>
      <w:r>
        <w:rPr>
          <w:rFonts w:hint="eastAsia" w:ascii="宋体" w:hAnsi="宋体" w:eastAsia="宋体" w:cs="宋体"/>
          <w:color w:val="auto"/>
          <w:highlight w:val="none"/>
        </w:rPr>
        <w:t>3.具有履行合同所必需的设备和专业技术能力;</w:t>
      </w:r>
    </w:p>
    <w:p>
      <w:pPr>
        <w:pStyle w:val="7"/>
        <w:ind w:firstLine="960"/>
        <w:jc w:val="left"/>
        <w:rPr>
          <w:rFonts w:hint="eastAsia" w:ascii="宋体" w:hAnsi="宋体" w:eastAsia="宋体" w:cs="宋体"/>
          <w:color w:val="auto"/>
          <w:highlight w:val="none"/>
        </w:rPr>
      </w:pPr>
      <w:r>
        <w:rPr>
          <w:rFonts w:hint="eastAsia" w:ascii="宋体" w:hAnsi="宋体" w:eastAsia="宋体" w:cs="宋体"/>
          <w:color w:val="auto"/>
          <w:highlight w:val="none"/>
        </w:rPr>
        <w:t>4.有依法缴纳税收和社会保障资金的良好记录;</w:t>
      </w:r>
    </w:p>
    <w:p>
      <w:pPr>
        <w:pStyle w:val="7"/>
        <w:ind w:firstLine="960"/>
        <w:jc w:val="left"/>
        <w:rPr>
          <w:rFonts w:hint="eastAsia" w:ascii="宋体" w:hAnsi="宋体" w:eastAsia="宋体" w:cs="宋体"/>
          <w:color w:val="auto"/>
          <w:highlight w:val="none"/>
        </w:rPr>
      </w:pPr>
      <w:r>
        <w:rPr>
          <w:rFonts w:hint="eastAsia" w:ascii="宋体" w:hAnsi="宋体" w:eastAsia="宋体" w:cs="宋体"/>
          <w:color w:val="auto"/>
          <w:highlight w:val="none"/>
        </w:rPr>
        <w:t>5.参加政府采购活动前三年内，在经营活动中没有重大违法记录；</w:t>
      </w:r>
    </w:p>
    <w:p>
      <w:pPr>
        <w:pStyle w:val="7"/>
        <w:ind w:firstLine="960"/>
        <w:jc w:val="left"/>
        <w:rPr>
          <w:rFonts w:hint="eastAsia" w:ascii="宋体" w:hAnsi="宋体" w:eastAsia="宋体" w:cs="宋体"/>
          <w:color w:val="auto"/>
          <w:highlight w:val="none"/>
        </w:rPr>
      </w:pPr>
      <w:r>
        <w:rPr>
          <w:rFonts w:hint="eastAsia" w:ascii="宋体" w:hAnsi="宋体" w:eastAsia="宋体" w:cs="宋体"/>
          <w:color w:val="auto"/>
          <w:highlight w:val="none"/>
        </w:rPr>
        <w:t>6.法律、行政法规规定的其他条件。</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供应商：</w:t>
      </w:r>
      <w:r>
        <w:rPr>
          <w:rFonts w:hint="eastAsia" w:ascii="宋体" w:hAnsi="宋体" w:eastAsia="宋体" w:cs="宋体"/>
          <w:color w:val="auto"/>
          <w:highlight w:val="none"/>
          <w:u w:val="single"/>
        </w:rPr>
        <w:t>名称(单位公章):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w:t>
      </w:r>
    </w:p>
    <w:p>
      <w:pPr>
        <w:pStyle w:val="7"/>
        <w:ind w:firstLine="960"/>
        <w:jc w:val="left"/>
        <w:rPr>
          <w:rFonts w:hint="eastAsia" w:ascii="宋体" w:hAnsi="宋体" w:eastAsia="宋体" w:cs="宋体"/>
          <w:color w:val="auto"/>
          <w:highlight w:val="none"/>
        </w:rPr>
      </w:pPr>
      <w:r>
        <w:rPr>
          <w:rFonts w:hint="eastAsia" w:ascii="宋体" w:hAnsi="宋体" w:eastAsia="宋体" w:cs="宋体"/>
          <w:color w:val="auto"/>
          <w:highlight w:val="none"/>
        </w:rPr>
        <w:t>1.我单位(本人)专指参加政府采购活动的供应商(含自然人)；</w:t>
      </w:r>
    </w:p>
    <w:p>
      <w:pPr>
        <w:pStyle w:val="7"/>
        <w:ind w:firstLine="960"/>
        <w:jc w:val="left"/>
        <w:rPr>
          <w:rFonts w:hint="eastAsia" w:ascii="宋体" w:hAnsi="宋体" w:eastAsia="宋体" w:cs="宋体"/>
          <w:color w:val="auto"/>
          <w:highlight w:val="none"/>
        </w:rPr>
      </w:pPr>
      <w:r>
        <w:rPr>
          <w:rFonts w:hint="eastAsia" w:ascii="宋体" w:hAnsi="宋体" w:eastAsia="宋体" w:cs="宋体"/>
          <w:color w:val="auto"/>
          <w:highlight w:val="none"/>
        </w:rPr>
        <w:t>2.资格承诺的供应商应在投标(响应)文件中按此模板提供承诺函，否则，视为未按照招标文件规定提交投标人的资格及资信文件，按资格审查不通过处理。</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二-2-2 资格证明材料</w:t>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营业执照等证明文件</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 ）投标人为法人（包括企业、事业单位和社会团体）的</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现附上由</w:t>
      </w:r>
      <w:r>
        <w:rPr>
          <w:rFonts w:hint="eastAsia" w:ascii="宋体" w:hAnsi="宋体" w:eastAsia="宋体" w:cs="宋体"/>
          <w:color w:val="auto"/>
          <w:highlight w:val="none"/>
          <w:u w:val="single"/>
        </w:rPr>
        <w:t>（（填写“签发机关全称”）</w:t>
      </w:r>
      <w:r>
        <w:rPr>
          <w:rFonts w:hint="eastAsia" w:ascii="宋体" w:hAnsi="宋体" w:eastAsia="宋体" w:cs="宋体"/>
          <w:color w:val="auto"/>
          <w:highlight w:val="none"/>
        </w:rPr>
        <w:t>签发的我方统一社会信用代码（请填写法人的具体证照名称）复印件，该证明材料真实有效，否则我方负全部责任。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 ）投标人为非法人（包括其他组织、自然人）的</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□现附上由</w:t>
      </w:r>
      <w:r>
        <w:rPr>
          <w:rFonts w:hint="eastAsia" w:ascii="宋体" w:hAnsi="宋体" w:eastAsia="宋体" w:cs="宋体"/>
          <w:color w:val="auto"/>
          <w:highlight w:val="none"/>
          <w:u w:val="single"/>
        </w:rPr>
        <w:t>（（填写“签发机关全称”）</w:t>
      </w:r>
      <w:r>
        <w:rPr>
          <w:rFonts w:hint="eastAsia" w:ascii="宋体" w:hAnsi="宋体" w:eastAsia="宋体" w:cs="宋体"/>
          <w:color w:val="auto"/>
          <w:highlight w:val="none"/>
        </w:rPr>
        <w:t>签发的我方（请填写非自然人的非法人的具体证照名称）复印件，该证明材料真实有效，否则我方负全部责任。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□现附上由</w:t>
      </w:r>
      <w:r>
        <w:rPr>
          <w:rFonts w:hint="eastAsia" w:ascii="宋体" w:hAnsi="宋体" w:eastAsia="宋体" w:cs="宋体"/>
          <w:color w:val="auto"/>
          <w:highlight w:val="none"/>
          <w:u w:val="single"/>
        </w:rPr>
        <w:t>（（填写“签发机关全称”）</w:t>
      </w:r>
      <w:r>
        <w:rPr>
          <w:rFonts w:hint="eastAsia" w:ascii="宋体" w:hAnsi="宋体" w:eastAsia="宋体" w:cs="宋体"/>
          <w:color w:val="auto"/>
          <w:highlight w:val="none"/>
        </w:rPr>
        <w:t>签发的我方（请填写自然人的身份证件名称）复印件，该证明材料真实有效，否则我方负全部责任。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1、请投标人按照实际情况编制填写，在相应的（）中打“√”并选择相应的“□”（若有）后，再按照本格式的要求提供相应证明材料的复印件。</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财务状况报告（财务报告、或资信证明）</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 ）投标人提供财务报告的</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□企业适用：现附上我方</w:t>
      </w:r>
      <w:r>
        <w:rPr>
          <w:rFonts w:hint="eastAsia" w:ascii="宋体" w:hAnsi="宋体" w:eastAsia="宋体" w:cs="宋体"/>
          <w:color w:val="auto"/>
          <w:highlight w:val="none"/>
          <w:u w:val="single"/>
        </w:rPr>
        <w:t>（填写“具体的年度、或半年度、季度”）</w:t>
      </w:r>
      <w:r>
        <w:rPr>
          <w:rFonts w:hint="eastAsia" w:ascii="宋体" w:hAnsi="宋体" w:eastAsia="宋体" w:cs="宋体"/>
          <w:color w:val="auto"/>
          <w:highlight w:val="none"/>
        </w:rPr>
        <w:t>财务报告复印件，包括资产负债表、利润表、现金流量表、所有者权益变动表（若有）及其附注（若有）、会计师事务所营业执照和注册会计师资格证书，上述证明材料真实有效，否则我方负全部责任。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□事业单位适用：现附上我方</w:t>
      </w:r>
      <w:r>
        <w:rPr>
          <w:rFonts w:hint="eastAsia" w:ascii="宋体" w:hAnsi="宋体" w:eastAsia="宋体" w:cs="宋体"/>
          <w:color w:val="auto"/>
          <w:highlight w:val="none"/>
          <w:u w:val="single"/>
        </w:rPr>
        <w:t>（填写“具体的年度、或半年度、或季度”）</w:t>
      </w:r>
      <w:r>
        <w:rPr>
          <w:rFonts w:hint="eastAsia" w:ascii="宋体" w:hAnsi="宋体" w:eastAsia="宋体" w:cs="宋体"/>
          <w:color w:val="auto"/>
          <w:highlight w:val="none"/>
        </w:rPr>
        <w:t>财务报告复印件，包括资产负债表、收入支出表（或收入费用表）、财政补助收入支出表（若有）、会计师事务所营业执照和注册会计师资格证书，上述证明材料真实有效，否则我方负全部责任。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□社会团体、民办非企适用：现附上我方</w:t>
      </w:r>
      <w:r>
        <w:rPr>
          <w:rFonts w:hint="eastAsia" w:ascii="宋体" w:hAnsi="宋体" w:eastAsia="宋体" w:cs="宋体"/>
          <w:color w:val="auto"/>
          <w:highlight w:val="none"/>
          <w:u w:val="single"/>
        </w:rPr>
        <w:t>（填写“具体的年度、或半年度、或季度”）</w:t>
      </w:r>
      <w:r>
        <w:rPr>
          <w:rFonts w:hint="eastAsia" w:ascii="宋体" w:hAnsi="宋体" w:eastAsia="宋体" w:cs="宋体"/>
          <w:color w:val="auto"/>
          <w:highlight w:val="none"/>
        </w:rPr>
        <w:t>财务报告复印件，包括资产负债表、业务活动表、现金流量表、会计师事务所营业执照和注册会计师资格证书，上述证明材料真实有效，否则我方负全部责任。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 ）投标人提供资信证明的</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□非自然人适用（包括企业、事业单位、社会团体和其他组织）：现附上我方银行：</w:t>
      </w:r>
      <w:r>
        <w:rPr>
          <w:rFonts w:hint="eastAsia" w:ascii="宋体" w:hAnsi="宋体" w:eastAsia="宋体" w:cs="宋体"/>
          <w:color w:val="auto"/>
          <w:highlight w:val="none"/>
          <w:u w:val="single"/>
        </w:rPr>
        <w:t>（填写“开户银行全称”）</w:t>
      </w:r>
      <w:r>
        <w:rPr>
          <w:rFonts w:hint="eastAsia" w:ascii="宋体" w:hAnsi="宋体" w:eastAsia="宋体" w:cs="宋体"/>
          <w:color w:val="auto"/>
          <w:highlight w:val="none"/>
        </w:rPr>
        <w:t>出具的资信证明复印件，上述证明材料真实有效，否则我方负全部责任。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□自然人适用：现附上我方银行</w:t>
      </w:r>
      <w:r>
        <w:rPr>
          <w:rFonts w:hint="eastAsia" w:ascii="宋体" w:hAnsi="宋体" w:eastAsia="宋体" w:cs="宋体"/>
          <w:color w:val="auto"/>
          <w:highlight w:val="none"/>
          <w:u w:val="single"/>
        </w:rPr>
        <w:t>：（填写自然人的“个人账户的开户银行全称”）</w:t>
      </w:r>
      <w:r>
        <w:rPr>
          <w:rFonts w:hint="eastAsia" w:ascii="宋体" w:hAnsi="宋体" w:eastAsia="宋体" w:cs="宋体"/>
          <w:color w:val="auto"/>
          <w:highlight w:val="none"/>
        </w:rPr>
        <w:t>出具的资信证明复印件，上述证明材料真实有效，否则我方负全部责任。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1、请投标人按照实际情况编制填写，在相应的（）中打“√”并选择相应的“□”（若有）后，再按照本格式的要求提供相应证明材料的复印件。</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2、投标人提供的财务报告复印件（成立年限按照投标截止时间推算）应符合下列规定：</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2.1成立年限满1年及以上的投标人，提供经审计的招标文件规定的年度财务报告。</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2.2成立年限满半年但不足1年的投标人，提供该半年度中任一季度的季度财务报告或该半年度的半年度财务报告。</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依法缴纳税收证明材料</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1、依法缴纳税收的投标人</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 ）法人（包括企业、事业单位和社会团体）的</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现附上自</w:t>
      </w:r>
      <w:r>
        <w:rPr>
          <w:rFonts w:hint="eastAsia" w:ascii="宋体" w:hAnsi="宋体" w:eastAsia="宋体" w:cs="宋体"/>
          <w:color w:val="auto"/>
          <w:highlight w:val="none"/>
          <w:u w:val="single"/>
        </w:rPr>
        <w:t>　　年　　月　　日</w:t>
      </w:r>
      <w:r>
        <w:rPr>
          <w:rFonts w:hint="eastAsia" w:ascii="宋体" w:hAnsi="宋体" w:eastAsia="宋体" w:cs="宋体"/>
          <w:color w:val="auto"/>
          <w:highlight w:val="none"/>
        </w:rPr>
        <w:t>至</w:t>
      </w:r>
      <w:r>
        <w:rPr>
          <w:rFonts w:hint="eastAsia" w:ascii="宋体" w:hAnsi="宋体" w:eastAsia="宋体" w:cs="宋体"/>
          <w:color w:val="auto"/>
          <w:highlight w:val="none"/>
          <w:u w:val="single"/>
        </w:rPr>
        <w:t>　　年　　月　　日</w:t>
      </w:r>
      <w:r>
        <w:rPr>
          <w:rFonts w:hint="eastAsia" w:ascii="宋体" w:hAnsi="宋体" w:eastAsia="宋体" w:cs="宋体"/>
          <w:color w:val="auto"/>
          <w:highlight w:val="none"/>
        </w:rPr>
        <w:t>期间我方缴纳（包括但不限于税务机关出具的专用收据、税收缴纳证明或税收代缴银行的缴款收讫凭证）等税收凭据复印件，上述证明材料真实有效，否则我方负全部责任。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 ）非法人（包括其他组织、自然人）的</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现附上自</w:t>
      </w:r>
      <w:r>
        <w:rPr>
          <w:rFonts w:hint="eastAsia" w:ascii="宋体" w:hAnsi="宋体" w:eastAsia="宋体" w:cs="宋体"/>
          <w:color w:val="auto"/>
          <w:highlight w:val="none"/>
          <w:u w:val="single"/>
        </w:rPr>
        <w:t>　　年　　月　　日</w:t>
      </w:r>
      <w:r>
        <w:rPr>
          <w:rFonts w:hint="eastAsia" w:ascii="宋体" w:hAnsi="宋体" w:eastAsia="宋体" w:cs="宋体"/>
          <w:color w:val="auto"/>
          <w:highlight w:val="none"/>
        </w:rPr>
        <w:t>至</w:t>
      </w:r>
      <w:r>
        <w:rPr>
          <w:rFonts w:hint="eastAsia" w:ascii="宋体" w:hAnsi="宋体" w:eastAsia="宋体" w:cs="宋体"/>
          <w:color w:val="auto"/>
          <w:highlight w:val="none"/>
          <w:u w:val="single"/>
        </w:rPr>
        <w:t>　　年　　月　　日</w:t>
      </w:r>
      <w:r>
        <w:rPr>
          <w:rFonts w:hint="eastAsia" w:ascii="宋体" w:hAnsi="宋体" w:eastAsia="宋体" w:cs="宋体"/>
          <w:color w:val="auto"/>
          <w:highlight w:val="none"/>
        </w:rPr>
        <w:t>期间我方缴纳（包括但不限于税务机关出具的专用收据、税收缴纳证明或税收代缴银行的缴款收讫凭证）等税收凭据复印件，上述证明材料真实有效，否则我方负全部责任。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2、依法免税的投标人</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 ）现附上我方依法免税的证明材料复印件，上述证明材料真实有效，否则我方负全部责任。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1、请投标人按照实际情况编制填写，在相应的（）中打“√”，并按照本格式的要求提供相应证明材料的复印件。</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2、投标人提供的税收缴纳凭据复印件应符合下列规定：</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2.1投标截止时间前（不含投标截止时间的当月）已依法缴纳税收的投标人，提供投标截止时间前六个月（不含投标截止时间的当月）中任一月份的税收缴纳凭据复印件。</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2.2投标截止时间的当月成立的投标人，视同满足本项资格条件要求。</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3、若为依法免税范围的投标人，提供依法免税证明材料的，视同满足本项资格条件要求。</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依法缴纳社会保障资金证明材料</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1、依法缴纳社会保障资金的投标人</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 ）法人（包括企业、事业单位和社会团体）的</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现附上自</w:t>
      </w:r>
      <w:r>
        <w:rPr>
          <w:rFonts w:hint="eastAsia" w:ascii="宋体" w:hAnsi="宋体" w:eastAsia="宋体" w:cs="宋体"/>
          <w:color w:val="auto"/>
          <w:highlight w:val="none"/>
          <w:u w:val="single"/>
        </w:rPr>
        <w:t>　　年　　月　　日</w:t>
      </w:r>
      <w:r>
        <w:rPr>
          <w:rFonts w:hint="eastAsia" w:ascii="宋体" w:hAnsi="宋体" w:eastAsia="宋体" w:cs="宋体"/>
          <w:color w:val="auto"/>
          <w:highlight w:val="none"/>
        </w:rPr>
        <w:t>至</w:t>
      </w:r>
      <w:r>
        <w:rPr>
          <w:rFonts w:hint="eastAsia" w:ascii="宋体" w:hAnsi="宋体" w:eastAsia="宋体" w:cs="宋体"/>
          <w:color w:val="auto"/>
          <w:highlight w:val="none"/>
          <w:u w:val="single"/>
        </w:rPr>
        <w:t>　　年　　月　　日</w:t>
      </w:r>
      <w:r>
        <w:rPr>
          <w:rFonts w:hint="eastAsia" w:ascii="宋体" w:hAnsi="宋体" w:eastAsia="宋体" w:cs="宋体"/>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 ）非法人（包括其他组织、自然人）的</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自</w:t>
      </w:r>
      <w:r>
        <w:rPr>
          <w:rFonts w:hint="eastAsia" w:ascii="宋体" w:hAnsi="宋体" w:eastAsia="宋体" w:cs="宋体"/>
          <w:color w:val="auto"/>
          <w:highlight w:val="none"/>
          <w:u w:val="single"/>
        </w:rPr>
        <w:t>　　年　　月　　日</w:t>
      </w:r>
      <w:r>
        <w:rPr>
          <w:rFonts w:hint="eastAsia" w:ascii="宋体" w:hAnsi="宋体" w:eastAsia="宋体" w:cs="宋体"/>
          <w:color w:val="auto"/>
          <w:highlight w:val="none"/>
        </w:rPr>
        <w:t>至</w:t>
      </w:r>
      <w:r>
        <w:rPr>
          <w:rFonts w:hint="eastAsia" w:ascii="宋体" w:hAnsi="宋体" w:eastAsia="宋体" w:cs="宋体"/>
          <w:color w:val="auto"/>
          <w:highlight w:val="none"/>
          <w:u w:val="single"/>
        </w:rPr>
        <w:t>　　年　　月　　日</w:t>
      </w:r>
      <w:r>
        <w:rPr>
          <w:rFonts w:hint="eastAsia" w:ascii="宋体" w:hAnsi="宋体" w:eastAsia="宋体" w:cs="宋体"/>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2、依法不需要缴纳或暂缓缴纳社会保障资金的投标人</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 ）现附上我方依法不需要缴纳或暂缓缴纳社会保障资金证明材料复印件，上述证明材料真实有效，否则我方负全部责任。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1、请投标人按照实际情况编制填写，在相应的（）中打“√”，并按照本格式的要求提供相应证明材料的复印件。</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2、投标人提供的社会保障资金缴纳凭据复印件应符合下列规定：</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2.1投标截止时间前（不含投标截止时间的当月）已依法缴纳社会保障资金的投标人，提供投标截止时间前六个月（不含投标截止时间的当月）中任一月份的社会保障资金缴纳凭据复印件。</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2.2投标截止时间的当月成立的投标人，视同满足本项资格条件要求。</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3、若为依法不需要缴纳或暂缓缴纳社会保障资金的投标人，提供依法不需要缴纳或暂缓缴纳社会保障资金证明材料的，视同满足本项资格条件要求。</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具备履行合同所必需设备和专业技术能力的声明函（若有）</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我方具备履行合同所必需的设备和专业技术能力，否则产生不利后果由我方承担责任。</w:t>
      </w:r>
    </w:p>
    <w:p>
      <w:pPr>
        <w:pStyle w:val="7"/>
        <w:ind w:firstLine="960"/>
        <w:jc w:val="left"/>
        <w:rPr>
          <w:rFonts w:hint="eastAsia" w:ascii="宋体" w:hAnsi="宋体" w:eastAsia="宋体" w:cs="宋体"/>
          <w:color w:val="auto"/>
          <w:highlight w:val="none"/>
        </w:rPr>
      </w:pPr>
      <w:r>
        <w:rPr>
          <w:rFonts w:hint="eastAsia" w:ascii="宋体" w:hAnsi="宋体" w:eastAsia="宋体" w:cs="宋体"/>
          <w:color w:val="auto"/>
          <w:highlight w:val="none"/>
        </w:rPr>
        <w:t>特此声明。</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1、招标文件未要求投标人提供“具备履行合同所必需的设备和专业技术能力专项证明材料”的，投标人应提供本声明函。</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2、招标文件要求投标人提供“具备履行合同所必需的设备和专业技术能力专项证明材料”的，投标人可不提供本声明函。</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3、请投标人根据实际情况如实声明，否则视为提供虚假材料。</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参加采购活动前三年内在经营活动中没有重大违法记录书面声明</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pPr>
        <w:pStyle w:val="7"/>
        <w:ind w:firstLine="960"/>
        <w:jc w:val="left"/>
        <w:rPr>
          <w:rFonts w:hint="eastAsia" w:ascii="宋体" w:hAnsi="宋体" w:eastAsia="宋体" w:cs="宋体"/>
          <w:color w:val="auto"/>
          <w:highlight w:val="none"/>
        </w:rPr>
      </w:pPr>
      <w:r>
        <w:rPr>
          <w:rFonts w:hint="eastAsia" w:ascii="宋体" w:hAnsi="宋体" w:eastAsia="宋体" w:cs="宋体"/>
          <w:color w:val="auto"/>
          <w:highlight w:val="none"/>
        </w:rPr>
        <w:t>特此声明。</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请投标人根据实际情况如实声明，否则视为提供虚假材料。</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二-3信用记录查询提示</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1、由资格审查小组通过网站查询并打印投标人的信用记录。</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二-4中小企业声明函</w:t>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（以资格条件落实中小企业扶持政策时适用，若有）</w:t>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中小企业声明函（货物）</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本公司（联合体）郑重声明，根据《政府采购促进中小企业发展管理办法》（财库﹝2020﹞46 号）的规定，本公司（联合体）参加</w:t>
      </w:r>
      <w:r>
        <w:rPr>
          <w:rFonts w:hint="eastAsia" w:ascii="宋体" w:hAnsi="宋体" w:eastAsia="宋体" w:cs="宋体"/>
          <w:color w:val="auto"/>
          <w:highlight w:val="none"/>
          <w:u w:val="single"/>
        </w:rPr>
        <w:t>（单位名称）</w:t>
      </w:r>
      <w:r>
        <w:rPr>
          <w:rFonts w:hint="eastAsia" w:ascii="宋体" w:hAnsi="宋体" w:eastAsia="宋体" w:cs="宋体"/>
          <w:color w:val="auto"/>
          <w:highlight w:val="none"/>
        </w:rPr>
        <w:t>的</w:t>
      </w:r>
      <w:r>
        <w:rPr>
          <w:rFonts w:hint="eastAsia" w:ascii="宋体" w:hAnsi="宋体" w:eastAsia="宋体" w:cs="宋体"/>
          <w:color w:val="auto"/>
          <w:highlight w:val="none"/>
          <w:u w:val="single"/>
        </w:rPr>
        <w:t>（项目名称）</w:t>
      </w:r>
      <w:r>
        <w:rPr>
          <w:rFonts w:hint="eastAsia" w:ascii="宋体" w:hAnsi="宋体" w:eastAsia="宋体" w:cs="宋体"/>
          <w:color w:val="auto"/>
          <w:highlight w:val="none"/>
        </w:rPr>
        <w:t>采购活动，提供的货物全部由符合政策要求的中小企业制造。相关企业（含联合体中的中小企业、签订分包意向协议的中小企业）的具体情况如下：</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u w:val="single"/>
        </w:rPr>
        <w:t xml:space="preserve"> （标的名称） </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行业；制造商为</w:t>
      </w:r>
      <w:r>
        <w:rPr>
          <w:rFonts w:hint="eastAsia" w:ascii="宋体" w:hAnsi="宋体" w:eastAsia="宋体" w:cs="宋体"/>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万元¹，属于</w:t>
      </w:r>
      <w:r>
        <w:rPr>
          <w:rFonts w:hint="eastAsia" w:ascii="宋体" w:hAnsi="宋体" w:eastAsia="宋体" w:cs="宋体"/>
          <w:color w:val="auto"/>
          <w:highlight w:val="none"/>
          <w:u w:val="single"/>
        </w:rPr>
        <w:t>（中型企业、小型企业、微型企业）</w:t>
      </w: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u w:val="single"/>
        </w:rPr>
        <w:t xml:space="preserve"> （标的名称） </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行业；制造商为</w:t>
      </w:r>
      <w:r>
        <w:rPr>
          <w:rFonts w:hint="eastAsia" w:ascii="宋体" w:hAnsi="宋体" w:eastAsia="宋体" w:cs="宋体"/>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万元，属于</w:t>
      </w:r>
      <w:r>
        <w:rPr>
          <w:rFonts w:hint="eastAsia" w:ascii="宋体" w:hAnsi="宋体" w:eastAsia="宋体" w:cs="宋体"/>
          <w:color w:val="auto"/>
          <w:highlight w:val="none"/>
          <w:u w:val="single"/>
        </w:rPr>
        <w:t>（中型企业、小型企业、微型企业）</w:t>
      </w: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以上企业，不属于大企业的分支机构，不存在控股股东为大企业的情形，也不存在与大企业的负责人为同一人的情形。</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本企业对上述声明内容的真实性负责。如有虚假，将依法承担相应责任。</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1、从业人员、营业收入、资产总额填报上一年度数据，无上一年度数据的新成立企业可不填报。</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中小企业声明函（工程、服务）</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本公司（联合体）郑重声明，根据《政府采购促进中小企业发展管理办法》（财库﹝2020﹞46 号）的规定，本公司（联合体）参加</w:t>
      </w:r>
      <w:r>
        <w:rPr>
          <w:rFonts w:hint="eastAsia" w:ascii="宋体" w:hAnsi="宋体" w:eastAsia="宋体" w:cs="宋体"/>
          <w:color w:val="auto"/>
          <w:highlight w:val="none"/>
          <w:u w:val="single"/>
        </w:rPr>
        <w:t>（单位名称）</w:t>
      </w:r>
      <w:r>
        <w:rPr>
          <w:rFonts w:hint="eastAsia" w:ascii="宋体" w:hAnsi="宋体" w:eastAsia="宋体" w:cs="宋体"/>
          <w:color w:val="auto"/>
          <w:highlight w:val="none"/>
        </w:rPr>
        <w:t>的</w:t>
      </w:r>
      <w:r>
        <w:rPr>
          <w:rFonts w:hint="eastAsia" w:ascii="宋体" w:hAnsi="宋体" w:eastAsia="宋体" w:cs="宋体"/>
          <w:color w:val="auto"/>
          <w:highlight w:val="none"/>
          <w:u w:val="single"/>
        </w:rPr>
        <w:t>（项目名称）</w:t>
      </w:r>
      <w:r>
        <w:rPr>
          <w:rFonts w:hint="eastAsia" w:ascii="宋体" w:hAnsi="宋体" w:eastAsia="宋体" w:cs="宋体"/>
          <w:color w:val="auto"/>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u w:val="single"/>
        </w:rPr>
        <w:t>（标的名称）</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；承建（承接）企业为</w:t>
      </w:r>
      <w:r>
        <w:rPr>
          <w:rFonts w:hint="eastAsia" w:ascii="宋体" w:hAnsi="宋体" w:eastAsia="宋体" w:cs="宋体"/>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万元¹，属于</w:t>
      </w:r>
      <w:r>
        <w:rPr>
          <w:rFonts w:hint="eastAsia" w:ascii="宋体" w:hAnsi="宋体" w:eastAsia="宋体" w:cs="宋体"/>
          <w:color w:val="auto"/>
          <w:highlight w:val="none"/>
          <w:u w:val="single"/>
        </w:rPr>
        <w:t>（中型企业、小型企业、微型企业）</w:t>
      </w: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u w:val="single"/>
        </w:rPr>
        <w:t>（标的名称）</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；承建（承接）企业为</w:t>
      </w:r>
      <w:r>
        <w:rPr>
          <w:rFonts w:hint="eastAsia" w:ascii="宋体" w:hAnsi="宋体" w:eastAsia="宋体" w:cs="宋体"/>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万元，属于</w:t>
      </w:r>
      <w:r>
        <w:rPr>
          <w:rFonts w:hint="eastAsia" w:ascii="宋体" w:hAnsi="宋体" w:eastAsia="宋体" w:cs="宋体"/>
          <w:color w:val="auto"/>
          <w:highlight w:val="none"/>
          <w:u w:val="single"/>
        </w:rPr>
        <w:t>（中型企业、小型企业、微型企业）</w:t>
      </w: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以上企业，不属于大企业的分支机构，不存在控股股东为大企业的情形，也不存在与大企业的负责人为同一人的情形。</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本企业对上述声明内容的真实性负责。如有虚假，将依法承担相应责任。</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1、从业人员、营业收入、资产总额填报上一年度数据，无上一年度数据的新成立企业可不填报。</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残疾人福利性单位声明函</w:t>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（以资格条件落实中小企业扶持政策时适用，若有）</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 ）由本投标人承建的（填写“所投采购包、品目号”）工程</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 ）由本投标人承接的（填写“所投采购包、品目号”）服务；</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本投标人对上述声明的真实性负责。如有虚假，将依法承担相应责任。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备注：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1、请投标人按照实际情况编制填写本声明函，并在相应的（）中打“√”。</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2、若《残疾人福利性单位声明函》内容不真实，视为提供虚假材料。</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附：</w:t>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监狱企业证明材料</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投标人为监狱企业，提供本单位制造的货物（承接的服务），并在电子投标文件中提供省级以上监狱管理局、戒毒管理局（含新疆生产建设兵团）出具的属于监狱企业的证明文件。</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二-5联合体协议（若有）</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（采购人或采购代理机构）</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兹有</w:t>
      </w:r>
      <w:r>
        <w:rPr>
          <w:rFonts w:hint="eastAsia" w:ascii="宋体" w:hAnsi="宋体" w:eastAsia="宋体" w:cs="宋体"/>
          <w:color w:val="auto"/>
          <w:highlight w:val="none"/>
          <w:u w:val="single"/>
        </w:rPr>
        <w:t>（填写“联合体中各方的全称”，各方的全称之间请用“、”分割）</w:t>
      </w:r>
      <w:r>
        <w:rPr>
          <w:rFonts w:hint="eastAsia" w:ascii="宋体" w:hAnsi="宋体" w:eastAsia="宋体" w:cs="宋体"/>
          <w:color w:val="auto"/>
          <w:highlight w:val="none"/>
        </w:rPr>
        <w:t>自愿组成联合体，共同参加</w:t>
      </w:r>
      <w:r>
        <w:rPr>
          <w:rFonts w:hint="eastAsia" w:ascii="宋体" w:hAnsi="宋体" w:eastAsia="宋体" w:cs="宋体"/>
          <w:color w:val="auto"/>
          <w:highlight w:val="none"/>
          <w:u w:val="single"/>
        </w:rPr>
        <w:t>（填写“项目名称”）</w:t>
      </w:r>
      <w:r>
        <w:rPr>
          <w:rFonts w:hint="eastAsia" w:ascii="宋体" w:hAnsi="宋体" w:eastAsia="宋体" w:cs="宋体"/>
          <w:color w:val="auto"/>
          <w:highlight w:val="none"/>
        </w:rPr>
        <w:t xml:space="preserve"> 项目（项目编号：</w:t>
      </w:r>
      <w:r>
        <w:rPr>
          <w:rFonts w:hint="eastAsia" w:ascii="宋体" w:hAnsi="宋体" w:eastAsia="宋体" w:cs="宋体"/>
          <w:color w:val="auto"/>
          <w:highlight w:val="none"/>
          <w:u w:val="single"/>
        </w:rPr>
        <w:t>　　　　　　</w:t>
      </w:r>
      <w:r>
        <w:rPr>
          <w:rFonts w:hint="eastAsia" w:ascii="宋体" w:hAnsi="宋体" w:eastAsia="宋体" w:cs="宋体"/>
          <w:color w:val="auto"/>
          <w:highlight w:val="none"/>
        </w:rPr>
        <w:t>）的投标。现就联合体参加本项目投标的有关事宜达成下列协议：</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一、联合体各方应承担的工作和义务具体如下：</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1、牵头方（全称）：</w:t>
      </w:r>
      <w:r>
        <w:rPr>
          <w:rFonts w:hint="eastAsia" w:ascii="宋体" w:hAnsi="宋体" w:eastAsia="宋体" w:cs="宋体"/>
          <w:color w:val="auto"/>
          <w:highlight w:val="none"/>
          <w:u w:val="single"/>
        </w:rPr>
        <w:t xml:space="preserve">（填写“工作及义务的具体内容”） </w:t>
      </w: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2、成员方：</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2.1（成员一的全称）：</w:t>
      </w:r>
      <w:r>
        <w:rPr>
          <w:rFonts w:hint="eastAsia" w:ascii="宋体" w:hAnsi="宋体" w:eastAsia="宋体" w:cs="宋体"/>
          <w:color w:val="auto"/>
          <w:highlight w:val="none"/>
          <w:u w:val="single"/>
        </w:rPr>
        <w:t>（填写“工作及义务的具体内容”）</w:t>
      </w:r>
      <w:r>
        <w:rPr>
          <w:rFonts w:hint="eastAsia" w:ascii="宋体" w:hAnsi="宋体" w:eastAsia="宋体" w:cs="宋体"/>
          <w:color w:val="auto"/>
          <w:highlight w:val="none"/>
        </w:rPr>
        <w:t xml:space="preserve"> ；</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二、联合体各方的合同金额占比，具体如下：</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1.牵头方（</w:t>
      </w:r>
      <w:r>
        <w:rPr>
          <w:rFonts w:hint="eastAsia" w:ascii="宋体" w:hAnsi="宋体" w:eastAsia="宋体" w:cs="宋体"/>
          <w:color w:val="auto"/>
          <w:highlight w:val="none"/>
          <w:u w:val="single"/>
        </w:rPr>
        <w:t xml:space="preserve"> 全称</w:t>
      </w:r>
      <w:r>
        <w:rPr>
          <w:rFonts w:hint="eastAsia" w:ascii="宋体" w:hAnsi="宋体" w:eastAsia="宋体" w:cs="宋体"/>
          <w:color w:val="auto"/>
          <w:highlight w:val="none"/>
        </w:rPr>
        <w:t xml:space="preserve"> ）的合同金额占合同总额的</w:t>
      </w:r>
      <w:r>
        <w:rPr>
          <w:rFonts w:hint="eastAsia" w:ascii="宋体" w:hAnsi="宋体" w:eastAsia="宋体" w:cs="宋体"/>
          <w:color w:val="auto"/>
          <w:highlight w:val="none"/>
          <w:u w:val="single"/>
        </w:rPr>
        <w:t>　　</w:t>
      </w: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2.成员方：</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2.1（</w:t>
      </w:r>
      <w:r>
        <w:rPr>
          <w:rFonts w:hint="eastAsia" w:ascii="宋体" w:hAnsi="宋体" w:eastAsia="宋体" w:cs="宋体"/>
          <w:color w:val="auto"/>
          <w:highlight w:val="none"/>
          <w:u w:val="single"/>
        </w:rPr>
        <w:t xml:space="preserve"> 成员1的全称 </w:t>
      </w:r>
      <w:r>
        <w:rPr>
          <w:rFonts w:hint="eastAsia" w:ascii="宋体" w:hAnsi="宋体" w:eastAsia="宋体" w:cs="宋体"/>
          <w:color w:val="auto"/>
          <w:highlight w:val="none"/>
        </w:rPr>
        <w:t>）的合同金额占合同总额的</w:t>
      </w:r>
      <w:r>
        <w:rPr>
          <w:rFonts w:hint="eastAsia" w:ascii="宋体" w:hAnsi="宋体" w:eastAsia="宋体" w:cs="宋体"/>
          <w:color w:val="auto"/>
          <w:highlight w:val="none"/>
          <w:u w:val="single"/>
        </w:rPr>
        <w:t>　　</w:t>
      </w: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三、联合体各方约定：</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1、由</w:t>
      </w:r>
      <w:r>
        <w:rPr>
          <w:rFonts w:hint="eastAsia" w:ascii="宋体" w:hAnsi="宋体" w:eastAsia="宋体" w:cs="宋体"/>
          <w:color w:val="auto"/>
          <w:highlight w:val="none"/>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2、联合体各方约定由</w:t>
      </w:r>
      <w:r>
        <w:rPr>
          <w:rFonts w:hint="eastAsia" w:ascii="宋体" w:hAnsi="宋体" w:eastAsia="宋体" w:cs="宋体"/>
          <w:color w:val="auto"/>
          <w:highlight w:val="none"/>
          <w:u w:val="single"/>
        </w:rPr>
        <w:t>（填写“牵头方的全称”）代表联合体办理投标保证金事宜。</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四、若中标，牵头方将代表联合体与采购人就合同签订事宜进行协商；若协商一致，则联合体各方将共同与采购人签订政府采购合同，并就政府采购合同约定的事项对采购人承担连带责任。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五、本协议自签署之日起生效，政府采购合同履行完毕后自动失效。</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六、本协议一式</w:t>
      </w:r>
      <w:r>
        <w:rPr>
          <w:rFonts w:hint="eastAsia" w:ascii="宋体" w:hAnsi="宋体" w:eastAsia="宋体" w:cs="宋体"/>
          <w:color w:val="auto"/>
          <w:highlight w:val="none"/>
          <w:u w:val="single"/>
        </w:rPr>
        <w:t>（填写具体份数）</w:t>
      </w:r>
      <w:r>
        <w:rPr>
          <w:rFonts w:hint="eastAsia" w:ascii="宋体" w:hAnsi="宋体" w:eastAsia="宋体" w:cs="宋体"/>
          <w:color w:val="auto"/>
          <w:highlight w:val="none"/>
        </w:rPr>
        <w:t>份，联合体各方各执一份，电子投标文件中提交一份。</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（以下无正文）</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牵头方：</w:t>
      </w:r>
      <w:r>
        <w:rPr>
          <w:rFonts w:hint="eastAsia" w:ascii="宋体" w:hAnsi="宋体" w:eastAsia="宋体" w:cs="宋体"/>
          <w:color w:val="auto"/>
          <w:highlight w:val="none"/>
          <w:u w:val="single"/>
        </w:rPr>
        <w:t>（全称并加盖单位公章）</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法定代表人或其委托代理人：</w:t>
      </w:r>
      <w:r>
        <w:rPr>
          <w:rFonts w:hint="eastAsia" w:ascii="宋体" w:hAnsi="宋体" w:eastAsia="宋体" w:cs="宋体"/>
          <w:color w:val="auto"/>
          <w:highlight w:val="none"/>
          <w:u w:val="single"/>
        </w:rPr>
        <w:t xml:space="preserve"> （签字或盖章）</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成员一：</w:t>
      </w:r>
      <w:r>
        <w:rPr>
          <w:rFonts w:hint="eastAsia" w:ascii="宋体" w:hAnsi="宋体" w:eastAsia="宋体" w:cs="宋体"/>
          <w:color w:val="auto"/>
          <w:highlight w:val="none"/>
          <w:u w:val="single"/>
        </w:rPr>
        <w:t>（全称并加盖成员一的单位公章）</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法定代表人或其委托代理人：</w:t>
      </w:r>
      <w:r>
        <w:rPr>
          <w:rFonts w:hint="eastAsia" w:ascii="宋体" w:hAnsi="宋体" w:eastAsia="宋体" w:cs="宋体"/>
          <w:color w:val="auto"/>
          <w:highlight w:val="none"/>
          <w:u w:val="single"/>
        </w:rPr>
        <w:t xml:space="preserve"> （签字或盖章）</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成员**：</w:t>
      </w:r>
      <w:r>
        <w:rPr>
          <w:rFonts w:hint="eastAsia" w:ascii="宋体" w:hAnsi="宋体" w:eastAsia="宋体" w:cs="宋体"/>
          <w:color w:val="auto"/>
          <w:highlight w:val="none"/>
          <w:u w:val="single"/>
        </w:rPr>
        <w:t>（全称并加盖成员**的单位公章）</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法定代表人或其委托代理人：</w:t>
      </w:r>
      <w:r>
        <w:rPr>
          <w:rFonts w:hint="eastAsia" w:ascii="宋体" w:hAnsi="宋体" w:eastAsia="宋体" w:cs="宋体"/>
          <w:color w:val="auto"/>
          <w:highlight w:val="none"/>
          <w:u w:val="single"/>
        </w:rPr>
        <w:t xml:space="preserve"> （签字或盖章）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签署日期：</w:t>
      </w:r>
      <w:r>
        <w:rPr>
          <w:rFonts w:hint="eastAsia" w:ascii="宋体" w:hAnsi="宋体" w:eastAsia="宋体" w:cs="宋体"/>
          <w:color w:val="auto"/>
          <w:highlight w:val="none"/>
          <w:u w:val="single"/>
        </w:rPr>
        <w:t>　　年　　月　　日</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1、招标文件接受联合体投标且投标人为联合体的，投标人应提供本协议；否则无须提供。</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2、本协议由委托代理人签字或盖章的，应按照本章载明的格式提供“单位授权书”。</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3、在以联合体形式落实中小企业预留份额项目中，投标人除了要提供《中小企业声明函》，还需提供本协议。</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二-6分包意向协议（若有）</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甲方（总包方）：</w:t>
      </w:r>
      <w:r>
        <w:rPr>
          <w:rFonts w:hint="eastAsia" w:ascii="宋体" w:hAnsi="宋体" w:eastAsia="宋体" w:cs="宋体"/>
          <w:color w:val="auto"/>
          <w:highlight w:val="none"/>
          <w:u w:val="single"/>
        </w:rPr>
        <w:t>　　　　　　　</w:t>
      </w:r>
      <w:r>
        <w:rPr>
          <w:rFonts w:hint="eastAsia" w:ascii="宋体" w:hAnsi="宋体" w:eastAsia="宋体" w:cs="宋体"/>
          <w:color w:val="auto"/>
          <w:highlight w:val="none"/>
        </w:rPr>
        <w:t>（即本项目的投标人）</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乙方（分包方）：</w:t>
      </w:r>
      <w:r>
        <w:rPr>
          <w:rFonts w:hint="eastAsia" w:ascii="宋体" w:hAnsi="宋体" w:eastAsia="宋体" w:cs="宋体"/>
          <w:color w:val="auto"/>
          <w:highlight w:val="none"/>
          <w:u w:val="single"/>
        </w:rPr>
        <w:t>　　　　　　　</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兹有甲方参加</w:t>
      </w:r>
      <w:r>
        <w:rPr>
          <w:rFonts w:hint="eastAsia" w:ascii="宋体" w:hAnsi="宋体" w:eastAsia="宋体" w:cs="宋体"/>
          <w:color w:val="auto"/>
          <w:highlight w:val="none"/>
          <w:u w:val="single"/>
        </w:rPr>
        <w:t>（填写“项目名称”）</w:t>
      </w:r>
      <w:r>
        <w:rPr>
          <w:rFonts w:hint="eastAsia" w:ascii="宋体" w:hAnsi="宋体" w:eastAsia="宋体" w:cs="宋体"/>
          <w:color w:val="auto"/>
          <w:highlight w:val="none"/>
        </w:rPr>
        <w:t xml:space="preserve"> 项目（项目编号：</w:t>
      </w:r>
      <w:r>
        <w:rPr>
          <w:rFonts w:hint="eastAsia" w:ascii="宋体" w:hAnsi="宋体" w:eastAsia="宋体" w:cs="宋体"/>
          <w:color w:val="auto"/>
          <w:highlight w:val="none"/>
          <w:u w:val="single"/>
        </w:rPr>
        <w:t>　　　　　　　</w:t>
      </w:r>
      <w:r>
        <w:rPr>
          <w:rFonts w:hint="eastAsia" w:ascii="宋体" w:hAnsi="宋体" w:eastAsia="宋体" w:cs="宋体"/>
          <w:color w:val="auto"/>
          <w:highlight w:val="none"/>
        </w:rPr>
        <w:t>）的政府采购活动。甲方期望将采购项目的部分采购标的分包给乙方完成，而乙方保证能够向甲方提供本协议项下的采购标的，甲、乙双方就合同分包的有关事宜达成下列协议：</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一、分包标的</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u w:val="single"/>
        </w:rPr>
        <w:t>（根据双方的意向填写，可以是表格或文字描述）。</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二、分包合同金额占比</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分包合同价占投标总价的比例：</w:t>
      </w:r>
      <w:r>
        <w:rPr>
          <w:rFonts w:hint="eastAsia" w:ascii="宋体" w:hAnsi="宋体" w:eastAsia="宋体" w:cs="宋体"/>
          <w:color w:val="auto"/>
          <w:highlight w:val="none"/>
          <w:u w:val="single"/>
        </w:rPr>
        <w:t>　　　　　</w:t>
      </w: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三、其他条款</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甲方：</w:t>
            </w:r>
          </w:p>
        </w:tc>
        <w:tc>
          <w:tcPr>
            <w:tcW w:w="4153"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乙方：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住所：</w:t>
            </w:r>
          </w:p>
        </w:tc>
        <w:tc>
          <w:tcPr>
            <w:tcW w:w="4153"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住所：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单位负责人或委托代理人：</w:t>
            </w:r>
          </w:p>
        </w:tc>
        <w:tc>
          <w:tcPr>
            <w:tcW w:w="4153"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单位负责人或委托代理人：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联系方法：</w:t>
            </w:r>
          </w:p>
        </w:tc>
        <w:tc>
          <w:tcPr>
            <w:tcW w:w="4153"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联系方法：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开户银行：</w:t>
            </w:r>
          </w:p>
        </w:tc>
        <w:tc>
          <w:tcPr>
            <w:tcW w:w="4153"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开户银行：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账号：</w:t>
            </w:r>
          </w:p>
        </w:tc>
        <w:tc>
          <w:tcPr>
            <w:tcW w:w="4153"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账号：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pPr>
              <w:pStyle w:val="7"/>
              <w:jc w:val="right"/>
              <w:rPr>
                <w:rFonts w:hint="eastAsia" w:ascii="宋体" w:hAnsi="宋体" w:eastAsia="宋体" w:cs="宋体"/>
                <w:color w:val="auto"/>
                <w:highlight w:val="none"/>
              </w:rPr>
            </w:pPr>
            <w:r>
              <w:rPr>
                <w:rFonts w:hint="eastAsia" w:ascii="宋体" w:hAnsi="宋体" w:eastAsia="宋体" w:cs="宋体"/>
                <w:color w:val="auto"/>
                <w:highlight w:val="none"/>
              </w:rPr>
              <w:t>签订地点：</w:t>
            </w:r>
            <w:r>
              <w:rPr>
                <w:rFonts w:hint="eastAsia" w:ascii="宋体" w:hAnsi="宋体" w:eastAsia="宋体" w:cs="宋体"/>
                <w:color w:val="auto"/>
                <w:highlight w:val="none"/>
                <w:u w:val="single"/>
              </w:rPr>
              <w:t>　　　　　　　　　　</w:t>
            </w:r>
          </w:p>
          <w:p>
            <w:pPr>
              <w:pStyle w:val="7"/>
              <w:jc w:val="right"/>
              <w:rPr>
                <w:rFonts w:hint="eastAsia" w:ascii="宋体" w:hAnsi="宋体" w:eastAsia="宋体" w:cs="宋体"/>
                <w:color w:val="auto"/>
                <w:highlight w:val="none"/>
              </w:rPr>
            </w:pPr>
            <w:r>
              <w:rPr>
                <w:rFonts w:hint="eastAsia" w:ascii="宋体" w:hAnsi="宋体" w:eastAsia="宋体" w:cs="宋体"/>
                <w:color w:val="auto"/>
                <w:highlight w:val="none"/>
              </w:rPr>
              <w:t>签约日期：</w:t>
            </w:r>
            <w:r>
              <w:rPr>
                <w:rFonts w:hint="eastAsia" w:ascii="宋体" w:hAnsi="宋体" w:eastAsia="宋体" w:cs="宋体"/>
                <w:color w:val="auto"/>
                <w:highlight w:val="none"/>
                <w:u w:val="single"/>
              </w:rPr>
              <w:t>　　年　　月　　日</w:t>
            </w:r>
          </w:p>
        </w:tc>
      </w:tr>
    </w:tbl>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1.招标文件接受合同分包且投标人拟将合同分包的，应提供本协议；否则无须提供。</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2.本协议由委托代理人签字或盖章的，应按照本章载明的格式提供“单位授权书”。</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3.在以合同分包形式落实中小企业预留份额项目中，投标人除了要提供《中小企业声明函》，还需提供本协议。</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二-7其他资格证明文件（若有）</w:t>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二-7-①招标文件规定的其他资格证明文件（若有）</w:t>
      </w:r>
    </w:p>
    <w:p>
      <w:pPr>
        <w:pStyle w:val="7"/>
        <w:ind w:firstLine="480"/>
        <w:jc w:val="center"/>
        <w:rPr>
          <w:rFonts w:hint="eastAsia" w:ascii="宋体" w:hAnsi="宋体" w:eastAsia="宋体" w:cs="宋体"/>
          <w:color w:val="auto"/>
          <w:highlight w:val="none"/>
        </w:rPr>
      </w:pPr>
      <w:r>
        <w:rPr>
          <w:rFonts w:hint="eastAsia" w:ascii="宋体" w:hAnsi="宋体" w:eastAsia="宋体" w:cs="宋体"/>
          <w:color w:val="auto"/>
          <w:highlight w:val="none"/>
        </w:rPr>
        <w:t>编制说明</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除招标文件另有规定外，招标文件要求提交的除前述资格证明文件外的其他资格证明文件（若有）加盖投标人的单位公章后应在此项下提交。</w:t>
      </w:r>
    </w:p>
    <w:p>
      <w:pPr>
        <w:pStyle w:val="7"/>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三、投标保证金</w:t>
      </w:r>
    </w:p>
    <w:p>
      <w:pPr>
        <w:pStyle w:val="7"/>
        <w:ind w:firstLine="480"/>
        <w:jc w:val="center"/>
        <w:rPr>
          <w:rFonts w:hint="eastAsia" w:ascii="宋体" w:hAnsi="宋体" w:eastAsia="宋体" w:cs="宋体"/>
          <w:color w:val="auto"/>
          <w:highlight w:val="none"/>
        </w:rPr>
      </w:pPr>
      <w:r>
        <w:rPr>
          <w:rFonts w:hint="eastAsia" w:ascii="宋体" w:hAnsi="宋体" w:eastAsia="宋体" w:cs="宋体"/>
          <w:color w:val="auto"/>
          <w:highlight w:val="none"/>
        </w:rPr>
        <w:t>编制说明</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1、在此项下提交的“投标保证金”材料可使用转账凭证复印件或从福建省政府采购网上公开信息系统中下载的有关原始页面的打印件。</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2、投标保证金是否已提交的认定按照招标文件第三章规定执行。</w:t>
      </w:r>
    </w:p>
    <w:p>
      <w:pPr>
        <w:pStyle w:val="7"/>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封面格式(报价部分)</w:t>
      </w:r>
    </w:p>
    <w:p>
      <w:pPr>
        <w:pStyle w:val="7"/>
        <w:jc w:val="center"/>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福建省政府采购投标文件</w:t>
      </w:r>
    </w:p>
    <w:p>
      <w:pPr>
        <w:pStyle w:val="7"/>
        <w:jc w:val="center"/>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（报价部分）</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pPr>
        <w:pStyle w:val="7"/>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（填写正本或副本）</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（项目名称：（由投标人填写）</w:t>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（备案编号：（由投标人填写）</w:t>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（项目编号：（由投标人填写）</w:t>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（所投采购包：（由投标人填写）</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投标人：（填写“全称”）</w:t>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（由投标人填写）年（由投标人填写）月</w:t>
      </w:r>
    </w:p>
    <w:p>
      <w:pPr>
        <w:pStyle w:val="7"/>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索引</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一、开标（报价）一览表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二、投标（响应）报价明细表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三、招标文件规定的价格扣除证明材料（若有）</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三、招标文件规定的价格扣除证明材料（若有）</w:t>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三-1优先类节能产品、环境标志产品价格扣除证明材料（若有）</w:t>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三-1-①优先类节能产品、环境标志产品统计表（价格扣除适用，若有）</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项目编号：</w:t>
      </w:r>
      <w:r>
        <w:rPr>
          <w:rFonts w:hint="eastAsia" w:ascii="宋体" w:hAnsi="宋体" w:eastAsia="宋体" w:cs="宋体"/>
          <w:color w:val="auto"/>
          <w:highlight w:val="none"/>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rPr>
                <w:rFonts w:hint="eastAsia" w:ascii="宋体" w:hAnsi="宋体" w:eastAsia="宋体" w:cs="宋体"/>
                <w:color w:val="auto"/>
                <w:highlight w:val="none"/>
              </w:rPr>
            </w:pPr>
          </w:p>
        </w:tc>
        <w:tc>
          <w:tcPr>
            <w:tcW w:w="7122" w:type="dxa"/>
            <w:gridSpan w:val="4"/>
          </w:tcPr>
          <w:p>
            <w:pPr>
              <w:pStyle w:val="7"/>
              <w:jc w:val="center"/>
              <w:rPr>
                <w:rFonts w:hint="eastAsia" w:ascii="宋体" w:hAnsi="宋体" w:eastAsia="宋体" w:cs="宋体"/>
                <w:color w:val="auto"/>
                <w:highlight w:val="none"/>
              </w:rPr>
            </w:pPr>
            <w:r>
              <w:rPr>
                <w:rFonts w:hint="eastAsia" w:ascii="宋体" w:hAnsi="宋体" w:eastAsia="宋体" w:cs="宋体"/>
                <w:color w:val="auto"/>
                <w:highlight w:val="none"/>
              </w:rPr>
              <w:t>本采购包内属于节能、环境标志产品情况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采购包</w:t>
            </w:r>
          </w:p>
        </w:tc>
        <w:tc>
          <w:tcPr>
            <w:tcW w:w="1187"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品目号</w:t>
            </w:r>
          </w:p>
        </w:tc>
        <w:tc>
          <w:tcPr>
            <w:tcW w:w="1187"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产品名称</w:t>
            </w:r>
          </w:p>
        </w:tc>
        <w:tc>
          <w:tcPr>
            <w:tcW w:w="1187"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认证种类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187"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1187" w:type="dxa"/>
          </w:tcPr>
          <w:p>
            <w:pPr>
              <w:rPr>
                <w:rFonts w:hint="eastAsia" w:ascii="宋体" w:hAnsi="宋体" w:eastAsia="宋体" w:cs="宋体"/>
                <w:color w:val="auto"/>
                <w:highlight w:val="none"/>
              </w:rPr>
            </w:pPr>
          </w:p>
        </w:tc>
        <w:tc>
          <w:tcPr>
            <w:tcW w:w="1187"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供应商自行填写种类，并上传证明附件以便评审查看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pPr>
              <w:rPr>
                <w:rFonts w:hint="eastAsia" w:ascii="宋体" w:hAnsi="宋体" w:eastAsia="宋体" w:cs="宋体"/>
                <w:color w:val="auto"/>
                <w:highlight w:val="none"/>
              </w:rPr>
            </w:pPr>
          </w:p>
        </w:tc>
        <w:tc>
          <w:tcPr>
            <w:tcW w:w="1187"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w:t>
            </w:r>
          </w:p>
          <w:p>
            <w:pPr>
              <w:pStyle w:val="7"/>
              <w:jc w:val="left"/>
              <w:rPr>
                <w:rFonts w:hint="eastAsia" w:ascii="宋体" w:hAnsi="宋体" w:eastAsia="宋体" w:cs="宋体"/>
                <w:color w:val="auto"/>
                <w:highlight w:val="none"/>
              </w:rPr>
            </w:pPr>
          </w:p>
        </w:tc>
        <w:tc>
          <w:tcPr>
            <w:tcW w:w="1187" w:type="dxa"/>
          </w:tcPr>
          <w:p>
            <w:pPr>
              <w:rPr>
                <w:rFonts w:hint="eastAsia" w:ascii="宋体" w:hAnsi="宋体" w:eastAsia="宋体" w:cs="宋体"/>
                <w:color w:val="auto"/>
                <w:highlight w:val="none"/>
              </w:rPr>
            </w:pPr>
          </w:p>
        </w:tc>
        <w:tc>
          <w:tcPr>
            <w:tcW w:w="1187"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备注</w:t>
            </w:r>
          </w:p>
        </w:tc>
        <w:tc>
          <w:tcPr>
            <w:tcW w:w="3561" w:type="dxa"/>
            <w:gridSpan w:val="3"/>
          </w:tcPr>
          <w:p>
            <w:pPr>
              <w:pStyle w:val="7"/>
              <w:jc w:val="left"/>
              <w:rPr>
                <w:rFonts w:hint="eastAsia" w:ascii="宋体" w:hAnsi="宋体" w:eastAsia="宋体" w:cs="宋体"/>
                <w:color w:val="auto"/>
                <w:highlight w:val="none"/>
              </w:rPr>
            </w:pPr>
          </w:p>
        </w:tc>
      </w:tr>
    </w:tbl>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1、对节能、环境标志产品计算价格扣除时，只依据电子投标文件“投标（响应）报价明细表”以及“优先类节能产品、环境标志产品证明材料（价格扣除适用，若有）”。</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2、本表以采购包为单位，不同采购包请分别填写；同一采购包请按照其品目号顺序分别填写。</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3、具体统计、计算：</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3.1同一品目中各认证证书不重复计算价格扣除。</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3.2计算结果若除不尽，可四舍五入保留到小数点后两位。</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3.3投标人(供应商)按照采购文件要求认真统计、计算。</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3.4若无节能、环境标志产品，不填写本表。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3.5强制类节能产品不享受价格扣除。</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三-1-②优先类节能产品、环境标志产品证明材料（价格扣除适用，若有）</w:t>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三-2小型、微型企业产品等价格扣除证明材料（若有）</w:t>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三-2-①中小企业声明函（价格扣除适用，若有）</w:t>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中小企业声明函（货物）</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本公司（联合体）郑重声明，根据《政府采购促进中小企业发展管理办法》（财库﹝2020﹞46 号）的规定，本公司（联合体）参加</w:t>
      </w:r>
      <w:r>
        <w:rPr>
          <w:rFonts w:hint="eastAsia" w:ascii="宋体" w:hAnsi="宋体" w:eastAsia="宋体" w:cs="宋体"/>
          <w:color w:val="auto"/>
          <w:highlight w:val="none"/>
          <w:u w:val="single"/>
        </w:rPr>
        <w:t>（单位名称）</w:t>
      </w:r>
      <w:r>
        <w:rPr>
          <w:rFonts w:hint="eastAsia" w:ascii="宋体" w:hAnsi="宋体" w:eastAsia="宋体" w:cs="宋体"/>
          <w:color w:val="auto"/>
          <w:highlight w:val="none"/>
        </w:rPr>
        <w:t>的</w:t>
      </w:r>
      <w:r>
        <w:rPr>
          <w:rFonts w:hint="eastAsia" w:ascii="宋体" w:hAnsi="宋体" w:eastAsia="宋体" w:cs="宋体"/>
          <w:color w:val="auto"/>
          <w:highlight w:val="none"/>
          <w:u w:val="single"/>
        </w:rPr>
        <w:t>（项目名称）</w:t>
      </w:r>
      <w:r>
        <w:rPr>
          <w:rFonts w:hint="eastAsia" w:ascii="宋体" w:hAnsi="宋体" w:eastAsia="宋体" w:cs="宋体"/>
          <w:color w:val="auto"/>
          <w:highlight w:val="none"/>
        </w:rPr>
        <w:t>采购活动，提供的货物全部由符合政策要求的中小企业制造。相关企业（含联合体中的中小企业、签订分包意向协议的中小企业）的具体情况如下：</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u w:val="single"/>
        </w:rPr>
        <w:t xml:space="preserve"> （标的名称） </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行业；制造商为</w:t>
      </w:r>
      <w:r>
        <w:rPr>
          <w:rFonts w:hint="eastAsia" w:ascii="宋体" w:hAnsi="宋体" w:eastAsia="宋体" w:cs="宋体"/>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w:t>
      </w:r>
      <w:r>
        <w:rPr>
          <w:rFonts w:hint="eastAsia" w:ascii="宋体" w:hAnsi="宋体" w:eastAsia="宋体" w:cs="宋体"/>
          <w:color w:val="auto"/>
          <w:sz w:val="21"/>
          <w:highlight w:val="none"/>
          <w:vertAlign w:val="superscript"/>
        </w:rPr>
        <w:t>1</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（中型企业、小型企业、微型企业）</w:t>
      </w: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u w:val="single"/>
        </w:rPr>
        <w:t xml:space="preserve"> （标的名称） </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行业；制造商为</w:t>
      </w:r>
      <w:r>
        <w:rPr>
          <w:rFonts w:hint="eastAsia" w:ascii="宋体" w:hAnsi="宋体" w:eastAsia="宋体" w:cs="宋体"/>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万元，属于</w:t>
      </w:r>
      <w:r>
        <w:rPr>
          <w:rFonts w:hint="eastAsia" w:ascii="宋体" w:hAnsi="宋体" w:eastAsia="宋体" w:cs="宋体"/>
          <w:color w:val="auto"/>
          <w:highlight w:val="none"/>
          <w:u w:val="single"/>
        </w:rPr>
        <w:t>（中型企业、小型企业、微型企业）</w:t>
      </w: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以上企业，不属于大企业的分支机构，不存在控股股东为大企业的情形，也不存在与大企业的负责人为同一人的情形。</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本企业对上述声明内容的真实性负责。如有虚假，将依法承担相应责任。</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1、从业人员、营业收入、资产总额填报上一年度数据，无上一年度数据的新成立企业可不填报。</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中小企业声明函（工程、服务）</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本公司（联合体）郑重声明，根据《政府采购促进中小企业发展管理办法》（财库﹝2020﹞46 号）的规定，本公司（联合体）参加</w:t>
      </w:r>
      <w:r>
        <w:rPr>
          <w:rFonts w:hint="eastAsia" w:ascii="宋体" w:hAnsi="宋体" w:eastAsia="宋体" w:cs="宋体"/>
          <w:color w:val="auto"/>
          <w:highlight w:val="none"/>
          <w:u w:val="single"/>
        </w:rPr>
        <w:t>（单位名称）</w:t>
      </w:r>
      <w:r>
        <w:rPr>
          <w:rFonts w:hint="eastAsia" w:ascii="宋体" w:hAnsi="宋体" w:eastAsia="宋体" w:cs="宋体"/>
          <w:color w:val="auto"/>
          <w:highlight w:val="none"/>
        </w:rPr>
        <w:t>的</w:t>
      </w:r>
      <w:r>
        <w:rPr>
          <w:rFonts w:hint="eastAsia" w:ascii="宋体" w:hAnsi="宋体" w:eastAsia="宋体" w:cs="宋体"/>
          <w:color w:val="auto"/>
          <w:highlight w:val="none"/>
          <w:u w:val="single"/>
        </w:rPr>
        <w:t>（项目名称）</w:t>
      </w:r>
      <w:r>
        <w:rPr>
          <w:rFonts w:hint="eastAsia" w:ascii="宋体" w:hAnsi="宋体" w:eastAsia="宋体" w:cs="宋体"/>
          <w:color w:val="auto"/>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u w:val="single"/>
        </w:rPr>
        <w:t>（标的名称）</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；承建（承接）企业为</w:t>
      </w:r>
      <w:r>
        <w:rPr>
          <w:rFonts w:hint="eastAsia" w:ascii="宋体" w:hAnsi="宋体" w:eastAsia="宋体" w:cs="宋体"/>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w:t>
      </w:r>
      <w:r>
        <w:rPr>
          <w:rFonts w:hint="eastAsia" w:ascii="宋体" w:hAnsi="宋体" w:eastAsia="宋体" w:cs="宋体"/>
          <w:color w:val="auto"/>
          <w:sz w:val="21"/>
          <w:highlight w:val="none"/>
          <w:vertAlign w:val="superscript"/>
        </w:rPr>
        <w:t>1</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（中型企业、小型企业、微型企业）</w:t>
      </w: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u w:val="single"/>
        </w:rPr>
        <w:t>（标的名称）</w:t>
      </w:r>
      <w:r>
        <w:rPr>
          <w:rFonts w:hint="eastAsia" w:ascii="宋体" w:hAnsi="宋体" w:eastAsia="宋体" w:cs="宋体"/>
          <w:color w:val="auto"/>
          <w:highlight w:val="none"/>
        </w:rPr>
        <w:t>，属于</w:t>
      </w:r>
      <w:r>
        <w:rPr>
          <w:rFonts w:hint="eastAsia" w:ascii="宋体" w:hAnsi="宋体" w:eastAsia="宋体" w:cs="宋体"/>
          <w:color w:val="auto"/>
          <w:highlight w:val="none"/>
          <w:u w:val="single"/>
        </w:rPr>
        <w:t>（采购文件中明确的所属行业）</w:t>
      </w:r>
      <w:r>
        <w:rPr>
          <w:rFonts w:hint="eastAsia" w:ascii="宋体" w:hAnsi="宋体" w:eastAsia="宋体" w:cs="宋体"/>
          <w:color w:val="auto"/>
          <w:highlight w:val="none"/>
        </w:rPr>
        <w:t>；承建（承接）企业为</w:t>
      </w:r>
      <w:r>
        <w:rPr>
          <w:rFonts w:hint="eastAsia" w:ascii="宋体" w:hAnsi="宋体" w:eastAsia="宋体" w:cs="宋体"/>
          <w:color w:val="auto"/>
          <w:highlight w:val="none"/>
          <w:u w:val="single"/>
        </w:rPr>
        <w:t>（企业名称）</w:t>
      </w:r>
      <w:r>
        <w:rPr>
          <w:rFonts w:hint="eastAsia" w:ascii="宋体" w:hAnsi="宋体" w:eastAsia="宋体" w:cs="宋体"/>
          <w:color w:val="auto"/>
          <w:highlight w:val="none"/>
        </w:rPr>
        <w:t>，从业人员</w:t>
      </w:r>
      <w:r>
        <w:rPr>
          <w:rFonts w:hint="eastAsia" w:ascii="宋体" w:hAnsi="宋体" w:eastAsia="宋体" w:cs="宋体"/>
          <w:color w:val="auto"/>
          <w:highlight w:val="none"/>
          <w:u w:val="single"/>
        </w:rPr>
        <w:t>　　　　　</w:t>
      </w:r>
      <w:r>
        <w:rPr>
          <w:rFonts w:hint="eastAsia" w:ascii="宋体" w:hAnsi="宋体" w:eastAsia="宋体" w:cs="宋体"/>
          <w:color w:val="auto"/>
          <w:highlight w:val="none"/>
        </w:rPr>
        <w:t>人，营业收入为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万元，资产总额为</w:t>
      </w:r>
      <w:r>
        <w:rPr>
          <w:rFonts w:hint="eastAsia" w:ascii="宋体" w:hAnsi="宋体" w:eastAsia="宋体" w:cs="宋体"/>
          <w:color w:val="auto"/>
          <w:highlight w:val="none"/>
          <w:u w:val="single"/>
        </w:rPr>
        <w:t>　　　　　</w:t>
      </w:r>
      <w:r>
        <w:rPr>
          <w:rFonts w:hint="eastAsia" w:ascii="宋体" w:hAnsi="宋体" w:eastAsia="宋体" w:cs="宋体"/>
          <w:color w:val="auto"/>
          <w:highlight w:val="none"/>
        </w:rPr>
        <w:t>万元，属于</w:t>
      </w:r>
      <w:r>
        <w:rPr>
          <w:rFonts w:hint="eastAsia" w:ascii="宋体" w:hAnsi="宋体" w:eastAsia="宋体" w:cs="宋体"/>
          <w:color w:val="auto"/>
          <w:highlight w:val="none"/>
          <w:u w:val="single"/>
        </w:rPr>
        <w:t>（中型企业、小型企业、微型企业）</w:t>
      </w: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以上企业，不属于大企业的分支机构，不存在控股股东为大企业的情形，也不存在与大企业的负责人为同一人的情形。</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本企业对上述声明内容的真实性负责。如有虚假，将依法承担相应责任。</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1、从业人员、营业收入、资产总额填报上一年度数据，无上一年度数据的新成立企业可不填报。</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三-2-②小型、微型企业等证明材料（价格扣除适用，若有）</w:t>
      </w:r>
    </w:p>
    <w:p>
      <w:pPr>
        <w:pStyle w:val="7"/>
        <w:ind w:firstLine="480"/>
        <w:jc w:val="center"/>
        <w:rPr>
          <w:rFonts w:hint="eastAsia" w:ascii="宋体" w:hAnsi="宋体" w:eastAsia="宋体" w:cs="宋体"/>
          <w:color w:val="auto"/>
          <w:highlight w:val="none"/>
        </w:rPr>
      </w:pPr>
      <w:r>
        <w:rPr>
          <w:rFonts w:hint="eastAsia" w:ascii="宋体" w:hAnsi="宋体" w:eastAsia="宋体" w:cs="宋体"/>
          <w:color w:val="auto"/>
          <w:highlight w:val="none"/>
        </w:rPr>
        <w:t>编制说明</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1、投标人为监狱企业的，根据其提供的由省级以上监狱管理局、戒毒管理局（含新疆生产建设兵团）出具的属于监狱企业的证明文件进行认定，监狱企业视同小型、微型企业。</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2、投标人为残疾人福利性单位的，根据其提供的《残疾人福利性单位声明函》（格式附后）进行认定，残疾人福利性单位视同小型、微型企业。残疾人福利性单位属于小型、微型企业的，不重复享受政策。</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附：</w:t>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残疾人福利性单位声明函（价格扣除适用，若有）</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 ）由本投标人承建的（填写“所投采购包、品目号”）工程</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 ）由本投标人承接的（填写“所投采购包、品目号”）服务；</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本投标人对上述声明的真实性负责。如有虚假，将依法承担相应责任。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备注：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1、请投标人按照实际情况编制填写本声明函，并在相应的（）中打“√”。</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2、若《残疾人福利性单位声明函》内容不真实，视为提供虚假材料。</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附：</w:t>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监狱企业证明材料</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投标人为监狱企业，提供本单位制造的货物（承接的服务），并在电子投标文件中提供省级以上监狱管理局、戒毒管理局（含新疆生产建设兵团）出具的属于监狱企业的证明文件。</w:t>
      </w:r>
    </w:p>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三-3招标文件规定的其他价格扣除证明材料（若有）</w:t>
      </w:r>
    </w:p>
    <w:p>
      <w:pPr>
        <w:pStyle w:val="7"/>
        <w:ind w:firstLine="480"/>
        <w:jc w:val="center"/>
        <w:rPr>
          <w:rFonts w:hint="eastAsia" w:ascii="宋体" w:hAnsi="宋体" w:eastAsia="宋体" w:cs="宋体"/>
          <w:color w:val="auto"/>
          <w:highlight w:val="none"/>
        </w:rPr>
      </w:pPr>
      <w:r>
        <w:rPr>
          <w:rFonts w:hint="eastAsia" w:ascii="宋体" w:hAnsi="宋体" w:eastAsia="宋体" w:cs="宋体"/>
          <w:color w:val="auto"/>
          <w:highlight w:val="none"/>
        </w:rPr>
        <w:t>编制说明</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若投标人可享受招标文件规定的除“节能（非强制类）、环境标志产品价格扣除”及“小型、微型企业产品等价格扣除”外的其他价格扣除优惠，则投标人应按照招标文件要求提供相应证明材料。</w:t>
      </w:r>
    </w:p>
    <w:p>
      <w:pPr>
        <w:pStyle w:val="7"/>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封面格式(技术商务部分)</w:t>
      </w:r>
    </w:p>
    <w:p>
      <w:pPr>
        <w:pStyle w:val="7"/>
        <w:jc w:val="center"/>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福建省政府采购投标文件</w:t>
      </w:r>
    </w:p>
    <w:p>
      <w:pPr>
        <w:pStyle w:val="7"/>
        <w:jc w:val="center"/>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（技术商务部分）</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pPr>
        <w:pStyle w:val="7"/>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（填写正本或副本）</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（项目名称：（由投标人填写）</w:t>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（备案编号：（由投标人填写）</w:t>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（项目编号：（由投标人填写）</w:t>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（所投采购包：（由投标人填写）</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投标人：（填写“全称”）</w:t>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（由投标人填写）年（由投标人填写）月</w:t>
      </w:r>
    </w:p>
    <w:p>
      <w:pPr>
        <w:pStyle w:val="7"/>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索引</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一、标的说明一览表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二、技术和服务要求响应表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三、商务条件响应表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四、投标人提交的其他资料（若有）</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技术商务部分中不得出现报价部分的全部或部分的投标报价信息（或组成资料），否则符合性审查不合格。</w:t>
      </w:r>
    </w:p>
    <w:p>
      <w:pPr>
        <w:pStyle w:val="7"/>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一、标的说明一览表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项目编号：</w:t>
      </w:r>
      <w:r>
        <w:rPr>
          <w:rFonts w:hint="eastAsia" w:ascii="宋体" w:hAnsi="宋体" w:eastAsia="宋体" w:cs="宋体"/>
          <w:color w:val="auto"/>
          <w:highlight w:val="none"/>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采购包</w:t>
            </w:r>
          </w:p>
        </w:tc>
        <w:tc>
          <w:tcPr>
            <w:tcW w:w="1187"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品目号</w:t>
            </w:r>
          </w:p>
        </w:tc>
        <w:tc>
          <w:tcPr>
            <w:tcW w:w="1187"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投标标的</w:t>
            </w:r>
          </w:p>
        </w:tc>
        <w:tc>
          <w:tcPr>
            <w:tcW w:w="1187"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数量</w:t>
            </w:r>
          </w:p>
        </w:tc>
        <w:tc>
          <w:tcPr>
            <w:tcW w:w="1187"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规格</w:t>
            </w:r>
          </w:p>
        </w:tc>
        <w:tc>
          <w:tcPr>
            <w:tcW w:w="1187"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来源地</w:t>
            </w:r>
          </w:p>
        </w:tc>
        <w:tc>
          <w:tcPr>
            <w:tcW w:w="1187"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187"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1187" w:type="dxa"/>
          </w:tcPr>
          <w:p>
            <w:pPr>
              <w:rPr>
                <w:rFonts w:hint="eastAsia" w:ascii="宋体" w:hAnsi="宋体" w:eastAsia="宋体" w:cs="宋体"/>
                <w:color w:val="auto"/>
                <w:highlight w:val="none"/>
              </w:rPr>
            </w:pPr>
          </w:p>
        </w:tc>
        <w:tc>
          <w:tcPr>
            <w:tcW w:w="1187" w:type="dxa"/>
          </w:tcPr>
          <w:p>
            <w:pPr>
              <w:rPr>
                <w:rFonts w:hint="eastAsia" w:ascii="宋体" w:hAnsi="宋体" w:eastAsia="宋体" w:cs="宋体"/>
                <w:color w:val="auto"/>
                <w:highlight w:val="none"/>
              </w:rPr>
            </w:pPr>
          </w:p>
        </w:tc>
        <w:tc>
          <w:tcPr>
            <w:tcW w:w="1187" w:type="dxa"/>
          </w:tcPr>
          <w:p>
            <w:pPr>
              <w:rPr>
                <w:rFonts w:hint="eastAsia" w:ascii="宋体" w:hAnsi="宋体" w:eastAsia="宋体" w:cs="宋体"/>
                <w:color w:val="auto"/>
                <w:highlight w:val="none"/>
              </w:rPr>
            </w:pPr>
          </w:p>
        </w:tc>
        <w:tc>
          <w:tcPr>
            <w:tcW w:w="1187"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pPr>
              <w:rPr>
                <w:rFonts w:hint="eastAsia" w:ascii="宋体" w:hAnsi="宋体" w:eastAsia="宋体" w:cs="宋体"/>
                <w:color w:val="auto"/>
                <w:highlight w:val="none"/>
              </w:rPr>
            </w:pPr>
          </w:p>
        </w:tc>
        <w:tc>
          <w:tcPr>
            <w:tcW w:w="1187"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187" w:type="dxa"/>
          </w:tcPr>
          <w:p>
            <w:pPr>
              <w:rPr>
                <w:rFonts w:hint="eastAsia" w:ascii="宋体" w:hAnsi="宋体" w:eastAsia="宋体" w:cs="宋体"/>
                <w:color w:val="auto"/>
                <w:highlight w:val="none"/>
              </w:rPr>
            </w:pPr>
          </w:p>
        </w:tc>
        <w:tc>
          <w:tcPr>
            <w:tcW w:w="1187" w:type="dxa"/>
          </w:tcPr>
          <w:p>
            <w:pPr>
              <w:rPr>
                <w:rFonts w:hint="eastAsia" w:ascii="宋体" w:hAnsi="宋体" w:eastAsia="宋体" w:cs="宋体"/>
                <w:color w:val="auto"/>
                <w:highlight w:val="none"/>
              </w:rPr>
            </w:pPr>
          </w:p>
        </w:tc>
        <w:tc>
          <w:tcPr>
            <w:tcW w:w="1187" w:type="dxa"/>
          </w:tcPr>
          <w:p>
            <w:pPr>
              <w:rPr>
                <w:rFonts w:hint="eastAsia" w:ascii="宋体" w:hAnsi="宋体" w:eastAsia="宋体" w:cs="宋体"/>
                <w:color w:val="auto"/>
                <w:highlight w:val="none"/>
              </w:rPr>
            </w:pPr>
          </w:p>
        </w:tc>
        <w:tc>
          <w:tcPr>
            <w:tcW w:w="1187"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187" w:type="dxa"/>
          </w:tcPr>
          <w:p>
            <w:pPr>
              <w:rPr>
                <w:rFonts w:hint="eastAsia" w:ascii="宋体" w:hAnsi="宋体" w:eastAsia="宋体" w:cs="宋体"/>
                <w:color w:val="auto"/>
                <w:highlight w:val="none"/>
              </w:rPr>
            </w:pPr>
          </w:p>
        </w:tc>
        <w:tc>
          <w:tcPr>
            <w:tcW w:w="1187" w:type="dxa"/>
          </w:tcPr>
          <w:p>
            <w:pPr>
              <w:rPr>
                <w:rFonts w:hint="eastAsia" w:ascii="宋体" w:hAnsi="宋体" w:eastAsia="宋体" w:cs="宋体"/>
                <w:color w:val="auto"/>
                <w:highlight w:val="none"/>
              </w:rPr>
            </w:pPr>
          </w:p>
        </w:tc>
        <w:tc>
          <w:tcPr>
            <w:tcW w:w="1187" w:type="dxa"/>
          </w:tcPr>
          <w:p>
            <w:pPr>
              <w:rPr>
                <w:rFonts w:hint="eastAsia" w:ascii="宋体" w:hAnsi="宋体" w:eastAsia="宋体" w:cs="宋体"/>
                <w:color w:val="auto"/>
                <w:highlight w:val="none"/>
              </w:rPr>
            </w:pPr>
          </w:p>
        </w:tc>
        <w:tc>
          <w:tcPr>
            <w:tcW w:w="1187" w:type="dxa"/>
          </w:tcPr>
          <w:p>
            <w:pPr>
              <w:rPr>
                <w:rFonts w:hint="eastAsia" w:ascii="宋体" w:hAnsi="宋体" w:eastAsia="宋体" w:cs="宋体"/>
                <w:color w:val="auto"/>
                <w:highlight w:val="none"/>
              </w:rPr>
            </w:pPr>
          </w:p>
        </w:tc>
        <w:tc>
          <w:tcPr>
            <w:tcW w:w="1187" w:type="dxa"/>
          </w:tcPr>
          <w:p>
            <w:pPr>
              <w:rPr>
                <w:rFonts w:hint="eastAsia" w:ascii="宋体" w:hAnsi="宋体" w:eastAsia="宋体" w:cs="宋体"/>
                <w:color w:val="auto"/>
                <w:highlight w:val="none"/>
              </w:rPr>
            </w:pPr>
          </w:p>
        </w:tc>
      </w:tr>
    </w:tbl>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1、本表应按照下列规定填写：</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1.1“采购包”、“品目号”、“投标标的”及“数量”应与招标文件《采购标的一览表》中的有关内容（“采购包”、“品目号”、“采购标的”及“数量”）保持一致。</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1.3“投标标的”为服务的：“规格”项下应填写服务提供者提供的服务标准及品牌（若有）。“来源地”应填写服务提供者的所在地。“备注”项下应填写关于服务标准所涵盖的具体项目或内容的说明等。</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3、电子投标文件中涉及“投标标的”、“数量”、“规格”、“来源地”的内容若不一致，应以本表为准。</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7"/>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二、技术和服务要求响应表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项目编号：</w:t>
      </w:r>
      <w:r>
        <w:rPr>
          <w:rFonts w:hint="eastAsia" w:ascii="宋体" w:hAnsi="宋体" w:eastAsia="宋体" w:cs="宋体"/>
          <w:color w:val="auto"/>
          <w:highlight w:val="none"/>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采购包</w:t>
            </w:r>
          </w:p>
        </w:tc>
        <w:tc>
          <w:tcPr>
            <w:tcW w:w="1661"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品目号</w:t>
            </w:r>
          </w:p>
        </w:tc>
        <w:tc>
          <w:tcPr>
            <w:tcW w:w="1661"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技术和服务要求</w:t>
            </w:r>
          </w:p>
        </w:tc>
        <w:tc>
          <w:tcPr>
            <w:tcW w:w="1661"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投标响应</w:t>
            </w:r>
          </w:p>
        </w:tc>
        <w:tc>
          <w:tcPr>
            <w:tcW w:w="1661"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661"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1661" w:type="dxa"/>
          </w:tcPr>
          <w:p>
            <w:pPr>
              <w:rPr>
                <w:rFonts w:hint="eastAsia" w:ascii="宋体" w:hAnsi="宋体" w:eastAsia="宋体" w:cs="宋体"/>
                <w:color w:val="auto"/>
                <w:highlight w:val="none"/>
              </w:rPr>
            </w:pPr>
          </w:p>
        </w:tc>
        <w:tc>
          <w:tcPr>
            <w:tcW w:w="1661" w:type="dxa"/>
          </w:tcPr>
          <w:p>
            <w:pPr>
              <w:rPr>
                <w:rFonts w:hint="eastAsia" w:ascii="宋体" w:hAnsi="宋体" w:eastAsia="宋体" w:cs="宋体"/>
                <w:color w:val="auto"/>
                <w:highlight w:val="none"/>
              </w:rPr>
            </w:pPr>
          </w:p>
        </w:tc>
        <w:tc>
          <w:tcPr>
            <w:tcW w:w="1661"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pPr>
              <w:rPr>
                <w:rFonts w:hint="eastAsia" w:ascii="宋体" w:hAnsi="宋体" w:eastAsia="宋体" w:cs="宋体"/>
                <w:color w:val="auto"/>
                <w:highlight w:val="none"/>
              </w:rPr>
            </w:pPr>
          </w:p>
        </w:tc>
        <w:tc>
          <w:tcPr>
            <w:tcW w:w="1661"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661" w:type="dxa"/>
          </w:tcPr>
          <w:p>
            <w:pPr>
              <w:rPr>
                <w:rFonts w:hint="eastAsia" w:ascii="宋体" w:hAnsi="宋体" w:eastAsia="宋体" w:cs="宋体"/>
                <w:color w:val="auto"/>
                <w:highlight w:val="none"/>
              </w:rPr>
            </w:pPr>
          </w:p>
        </w:tc>
        <w:tc>
          <w:tcPr>
            <w:tcW w:w="1661" w:type="dxa"/>
          </w:tcPr>
          <w:p>
            <w:pPr>
              <w:rPr>
                <w:rFonts w:hint="eastAsia" w:ascii="宋体" w:hAnsi="宋体" w:eastAsia="宋体" w:cs="宋体"/>
                <w:color w:val="auto"/>
                <w:highlight w:val="none"/>
              </w:rPr>
            </w:pPr>
          </w:p>
        </w:tc>
        <w:tc>
          <w:tcPr>
            <w:tcW w:w="1661"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661" w:type="dxa"/>
          </w:tcPr>
          <w:p>
            <w:pPr>
              <w:rPr>
                <w:rFonts w:hint="eastAsia" w:ascii="宋体" w:hAnsi="宋体" w:eastAsia="宋体" w:cs="宋体"/>
                <w:color w:val="auto"/>
                <w:highlight w:val="none"/>
              </w:rPr>
            </w:pPr>
          </w:p>
        </w:tc>
        <w:tc>
          <w:tcPr>
            <w:tcW w:w="1661" w:type="dxa"/>
          </w:tcPr>
          <w:p>
            <w:pPr>
              <w:rPr>
                <w:rFonts w:hint="eastAsia" w:ascii="宋体" w:hAnsi="宋体" w:eastAsia="宋体" w:cs="宋体"/>
                <w:color w:val="auto"/>
                <w:highlight w:val="none"/>
              </w:rPr>
            </w:pPr>
          </w:p>
        </w:tc>
        <w:tc>
          <w:tcPr>
            <w:tcW w:w="1661" w:type="dxa"/>
          </w:tcPr>
          <w:p>
            <w:pPr>
              <w:rPr>
                <w:rFonts w:hint="eastAsia" w:ascii="宋体" w:hAnsi="宋体" w:eastAsia="宋体" w:cs="宋体"/>
                <w:color w:val="auto"/>
                <w:highlight w:val="none"/>
              </w:rPr>
            </w:pPr>
          </w:p>
        </w:tc>
        <w:tc>
          <w:tcPr>
            <w:tcW w:w="1661" w:type="dxa"/>
          </w:tcPr>
          <w:p>
            <w:pPr>
              <w:rPr>
                <w:rFonts w:hint="eastAsia" w:ascii="宋体" w:hAnsi="宋体" w:eastAsia="宋体" w:cs="宋体"/>
                <w:color w:val="auto"/>
                <w:highlight w:val="none"/>
              </w:rPr>
            </w:pPr>
          </w:p>
        </w:tc>
      </w:tr>
    </w:tbl>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1、本表应按照下列规定填写：</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1.1“技术和服务要求”项下填写的内容应与招标文件第五章“技术和服务要求”的内容保持一致。</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1.3“是否偏离及说明”项下应按下列规定填写：优于的，填写“正偏离”；符合的，填写“无偏离”；低于的，填写“负偏离”。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7"/>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三、商务条件响应表</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项目编号：</w:t>
      </w:r>
      <w:r>
        <w:rPr>
          <w:rFonts w:hint="eastAsia" w:ascii="宋体" w:hAnsi="宋体" w:eastAsia="宋体" w:cs="宋体"/>
          <w:color w:val="auto"/>
          <w:highlight w:val="none"/>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采购包</w:t>
            </w:r>
          </w:p>
        </w:tc>
        <w:tc>
          <w:tcPr>
            <w:tcW w:w="1661"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品目号</w:t>
            </w:r>
          </w:p>
        </w:tc>
        <w:tc>
          <w:tcPr>
            <w:tcW w:w="1661"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商务条件</w:t>
            </w:r>
          </w:p>
        </w:tc>
        <w:tc>
          <w:tcPr>
            <w:tcW w:w="1661"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投标响应</w:t>
            </w:r>
          </w:p>
        </w:tc>
        <w:tc>
          <w:tcPr>
            <w:tcW w:w="1661"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661"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1661" w:type="dxa"/>
          </w:tcPr>
          <w:p>
            <w:pPr>
              <w:rPr>
                <w:rFonts w:hint="eastAsia" w:ascii="宋体" w:hAnsi="宋体" w:eastAsia="宋体" w:cs="宋体"/>
                <w:color w:val="auto"/>
                <w:highlight w:val="none"/>
              </w:rPr>
            </w:pPr>
          </w:p>
        </w:tc>
        <w:tc>
          <w:tcPr>
            <w:tcW w:w="1661" w:type="dxa"/>
          </w:tcPr>
          <w:p>
            <w:pPr>
              <w:rPr>
                <w:rFonts w:hint="eastAsia" w:ascii="宋体" w:hAnsi="宋体" w:eastAsia="宋体" w:cs="宋体"/>
                <w:color w:val="auto"/>
                <w:highlight w:val="none"/>
              </w:rPr>
            </w:pPr>
          </w:p>
        </w:tc>
        <w:tc>
          <w:tcPr>
            <w:tcW w:w="1661"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pPr>
              <w:rPr>
                <w:rFonts w:hint="eastAsia" w:ascii="宋体" w:hAnsi="宋体" w:eastAsia="宋体" w:cs="宋体"/>
                <w:color w:val="auto"/>
                <w:highlight w:val="none"/>
              </w:rPr>
            </w:pPr>
          </w:p>
        </w:tc>
        <w:tc>
          <w:tcPr>
            <w:tcW w:w="1661"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661" w:type="dxa"/>
          </w:tcPr>
          <w:p>
            <w:pPr>
              <w:rPr>
                <w:rFonts w:hint="eastAsia" w:ascii="宋体" w:hAnsi="宋体" w:eastAsia="宋体" w:cs="宋体"/>
                <w:color w:val="auto"/>
                <w:highlight w:val="none"/>
              </w:rPr>
            </w:pPr>
          </w:p>
        </w:tc>
        <w:tc>
          <w:tcPr>
            <w:tcW w:w="1661" w:type="dxa"/>
          </w:tcPr>
          <w:p>
            <w:pPr>
              <w:rPr>
                <w:rFonts w:hint="eastAsia" w:ascii="宋体" w:hAnsi="宋体" w:eastAsia="宋体" w:cs="宋体"/>
                <w:color w:val="auto"/>
                <w:highlight w:val="none"/>
              </w:rPr>
            </w:pPr>
          </w:p>
        </w:tc>
        <w:tc>
          <w:tcPr>
            <w:tcW w:w="1661" w:type="dxa"/>
          </w:tcPr>
          <w:p>
            <w:pPr>
              <w:rPr>
                <w:rFonts w:hint="eastAsia" w:ascii="宋体" w:hAnsi="宋体" w:eastAsia="宋体" w:cs="宋体"/>
                <w:color w:val="auto"/>
                <w:highlight w:val="none"/>
              </w:rPr>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7"/>
              <w:jc w:val="left"/>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661" w:type="dxa"/>
          </w:tcPr>
          <w:p>
            <w:pPr>
              <w:rPr>
                <w:rFonts w:hint="eastAsia" w:ascii="宋体" w:hAnsi="宋体" w:eastAsia="宋体" w:cs="宋体"/>
                <w:color w:val="auto"/>
                <w:highlight w:val="none"/>
              </w:rPr>
            </w:pPr>
          </w:p>
        </w:tc>
        <w:tc>
          <w:tcPr>
            <w:tcW w:w="1661" w:type="dxa"/>
          </w:tcPr>
          <w:p>
            <w:pPr>
              <w:rPr>
                <w:rFonts w:hint="eastAsia" w:ascii="宋体" w:hAnsi="宋体" w:eastAsia="宋体" w:cs="宋体"/>
                <w:color w:val="auto"/>
                <w:highlight w:val="none"/>
              </w:rPr>
            </w:pPr>
          </w:p>
        </w:tc>
        <w:tc>
          <w:tcPr>
            <w:tcW w:w="1661" w:type="dxa"/>
          </w:tcPr>
          <w:p>
            <w:pPr>
              <w:rPr>
                <w:rFonts w:hint="eastAsia" w:ascii="宋体" w:hAnsi="宋体" w:eastAsia="宋体" w:cs="宋体"/>
                <w:color w:val="auto"/>
                <w:highlight w:val="none"/>
              </w:rPr>
            </w:pPr>
          </w:p>
        </w:tc>
        <w:tc>
          <w:tcPr>
            <w:tcW w:w="1661" w:type="dxa"/>
          </w:tcPr>
          <w:p>
            <w:pPr>
              <w:rPr>
                <w:rFonts w:hint="eastAsia" w:ascii="宋体" w:hAnsi="宋体" w:eastAsia="宋体" w:cs="宋体"/>
                <w:color w:val="auto"/>
                <w:highlight w:val="none"/>
              </w:rPr>
            </w:pPr>
          </w:p>
        </w:tc>
      </w:tr>
    </w:tbl>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※注意：</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1、本表应按照下列规定填写：</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1.1“商务条件”项下填写的内容应与招标文件第五章“商务条件”的内容保持一致。</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1.2“投标响应”项下应填写具体的响应内容并与“商务条件”项下填写的内容逐项对应；对“商务条件”项下涉及“≥或＞”、“≤或＜”及某个区间值范围内的内容，应填写具体的数值。</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1.3“是否偏离及说明”项下应按下列规定填写：优于的，填写“正偏离”；符合的，填写“无偏离”；低于的，填写“负偏离”。</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投标人：</w:t>
      </w:r>
      <w:r>
        <w:rPr>
          <w:rFonts w:hint="eastAsia" w:ascii="宋体" w:hAnsi="宋体" w:eastAsia="宋体" w:cs="宋体"/>
          <w:color w:val="auto"/>
          <w:highlight w:val="none"/>
          <w:u w:val="single"/>
        </w:rPr>
        <w:t>（全称并加盖单位公章）</w:t>
      </w:r>
    </w:p>
    <w:p>
      <w:pPr>
        <w:pStyle w:val="7"/>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年　　月　　日</w:t>
      </w:r>
    </w:p>
    <w:p>
      <w:pPr>
        <w:pStyle w:val="7"/>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pPr>
        <w:pStyle w:val="7"/>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四、投标人提交的其他资料（若有）</w:t>
      </w:r>
    </w:p>
    <w:p>
      <w:pPr>
        <w:pStyle w:val="7"/>
        <w:ind w:firstLine="480"/>
        <w:jc w:val="center"/>
        <w:rPr>
          <w:rFonts w:hint="eastAsia" w:ascii="宋体" w:hAnsi="宋体" w:eastAsia="宋体" w:cs="宋体"/>
          <w:color w:val="auto"/>
          <w:highlight w:val="none"/>
        </w:rPr>
      </w:pPr>
      <w:r>
        <w:rPr>
          <w:rFonts w:hint="eastAsia" w:ascii="宋体" w:hAnsi="宋体" w:eastAsia="宋体" w:cs="宋体"/>
          <w:color w:val="auto"/>
          <w:highlight w:val="none"/>
        </w:rPr>
        <w:t>编制说明</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1、招标文件要求提交的除“资格及资信证明部分”、“报价部分”外的其他证明材料或资料加盖投标人的单位公章后应在此项下提交。</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2、招标文件要求投标人提供方案（包括但不限于：组织、实施、技术、服务方案等）的，投标人应在此项下提交。</w:t>
      </w:r>
    </w:p>
    <w:p>
      <w:pPr>
        <w:pStyle w:val="7"/>
        <w:ind w:firstLine="480"/>
        <w:jc w:val="left"/>
        <w:rPr>
          <w:rFonts w:hint="eastAsia" w:ascii="宋体" w:hAnsi="宋体" w:eastAsia="宋体" w:cs="宋体"/>
          <w:color w:val="auto"/>
          <w:highlight w:val="none"/>
        </w:rPr>
      </w:pPr>
      <w:r>
        <w:rPr>
          <w:rFonts w:hint="eastAsia" w:ascii="宋体" w:hAnsi="宋体" w:eastAsia="宋体" w:cs="宋体"/>
          <w:color w:val="auto"/>
          <w:highlight w:val="none"/>
        </w:rPr>
        <w:t>3、除招标文件另有规定外，投标人认为需要提交的其他证明材料或资料加盖投标人的单位公章后应在此项下提交。</w:t>
      </w:r>
    </w:p>
    <w:p>
      <w:pPr>
        <w:pStyle w:val="7"/>
        <w:rPr>
          <w:rFonts w:hint="eastAsia" w:ascii="宋体" w:hAnsi="宋体" w:eastAsia="宋体" w:cs="宋体"/>
          <w:color w:val="auto"/>
          <w:highlight w:val="none"/>
          <w:lang w:val="en-US" w:eastAsia="zh-Hans"/>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7007B97"/>
    <w:rsid w:val="177F50ED"/>
    <w:rsid w:val="18F972F6"/>
    <w:rsid w:val="1C1C489B"/>
    <w:rsid w:val="2137033A"/>
    <w:rsid w:val="2CE3684E"/>
    <w:rsid w:val="2D075AE2"/>
    <w:rsid w:val="384F0C8B"/>
    <w:rsid w:val="47AB7646"/>
    <w:rsid w:val="49314753"/>
    <w:rsid w:val="53B52B8D"/>
    <w:rsid w:val="5DB47FB5"/>
    <w:rsid w:val="5F6358E5"/>
    <w:rsid w:val="6EDC686A"/>
    <w:rsid w:val="77F79321"/>
    <w:rsid w:val="786A251A"/>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null3"/>
    <w:hidden/>
    <w:uiPriority w:val="0"/>
    <w:rPr>
      <w:rFonts w:hint="eastAsia" w:asciiTheme="minorHAnsi" w:hAnsiTheme="minorHAnsi" w:eastAsiaTheme="minorEastAsia" w:cstheme="minorBidi"/>
      <w:lang w:val="en-US" w:eastAsia="zh-Hans"/>
    </w:rPr>
  </w:style>
  <w:style w:type="character" w:customStyle="1" w:styleId="8">
    <w:name w:val="font21"/>
    <w:basedOn w:val="6"/>
    <w:uiPriority w:val="0"/>
    <w:rPr>
      <w:rFonts w:hint="eastAsia" w:ascii="宋体" w:hAnsi="宋体" w:eastAsia="宋体" w:cs="宋体"/>
      <w:color w:val="000000"/>
      <w:sz w:val="28"/>
      <w:szCs w:val="28"/>
      <w:u w:val="none"/>
    </w:rPr>
  </w:style>
  <w:style w:type="character" w:customStyle="1" w:styleId="9">
    <w:name w:val="font51"/>
    <w:basedOn w:val="6"/>
    <w:uiPriority w:val="0"/>
    <w:rPr>
      <w:rFonts w:hint="default" w:ascii="Times New Roman" w:hAnsi="Times New Roman" w:cs="Times New Roman"/>
      <w:color w:val="000000"/>
      <w:sz w:val="28"/>
      <w:szCs w:val="28"/>
      <w:u w:val="none"/>
    </w:rPr>
  </w:style>
  <w:style w:type="character" w:customStyle="1" w:styleId="10">
    <w:name w:val="font11"/>
    <w:basedOn w:val="6"/>
    <w:uiPriority w:val="0"/>
    <w:rPr>
      <w:rFonts w:hint="eastAsia" w:ascii="宋体" w:hAnsi="宋体" w:eastAsia="宋体" w:cs="宋体"/>
      <w:color w:val="000000"/>
      <w:sz w:val="24"/>
      <w:szCs w:val="24"/>
      <w:u w:val="none"/>
    </w:rPr>
  </w:style>
  <w:style w:type="character" w:customStyle="1" w:styleId="11">
    <w:name w:val="font41"/>
    <w:basedOn w:val="6"/>
    <w:uiPriority w:val="0"/>
    <w:rPr>
      <w:rFonts w:hint="default" w:ascii="Times New Roman" w:hAnsi="Times New Roman" w:cs="Times New Roman"/>
      <w:color w:val="000000"/>
      <w:sz w:val="24"/>
      <w:szCs w:val="24"/>
      <w:u w:val="none"/>
    </w:rPr>
  </w:style>
  <w:style w:type="character" w:customStyle="1" w:styleId="12">
    <w:name w:val="font01"/>
    <w:basedOn w:val="6"/>
    <w:uiPriority w:val="0"/>
    <w:rPr>
      <w:rFonts w:ascii="Calibri" w:hAnsi="Calibri" w:cs="Calibri"/>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137</Pages>
  <Words>2479</Words>
  <Characters>2609</Characters>
  <Lines>0</Lines>
  <Paragraphs>0</Paragraphs>
  <TotalTime>1</TotalTime>
  <ScaleCrop>false</ScaleCrop>
  <LinksUpToDate>false</LinksUpToDate>
  <CharactersWithSpaces>2631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Administrator</cp:lastModifiedBy>
  <dcterms:modified xsi:type="dcterms:W3CDTF">2025-03-12T08:23:25Z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1F0F67B366EA4D5C98F80CF9CB6DE974_13</vt:lpwstr>
  </property>
  <property fmtid="{D5CDD505-2E9C-101B-9397-08002B2CF9AE}" pid="4" name="KSOTemplateDocerSaveRecord">
    <vt:lpwstr>eyJoZGlkIjoiODZjZjA2N2Y3NWJmNzk4YTBjN2MxMTE0YWEyZWE2MDkiLCJ1c2VySWQiOiI3MDIzMzI3NzUifQ==</vt:lpwstr>
  </property>
</Properties>
</file>