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62"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23"/>
        <w:gridCol w:w="6184"/>
      </w:tblGrid>
      <w:tr w14:paraId="1417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50813848">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序号</w:t>
            </w:r>
          </w:p>
        </w:tc>
        <w:tc>
          <w:tcPr>
            <w:tcW w:w="1723" w:type="dxa"/>
            <w:vAlign w:val="center"/>
          </w:tcPr>
          <w:p w14:paraId="1BC29435">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w:t>
            </w:r>
          </w:p>
        </w:tc>
        <w:tc>
          <w:tcPr>
            <w:tcW w:w="6184" w:type="dxa"/>
            <w:vAlign w:val="center"/>
          </w:tcPr>
          <w:p w14:paraId="0074A80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规格</w:t>
            </w:r>
          </w:p>
        </w:tc>
      </w:tr>
      <w:tr w14:paraId="48FB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shd w:val="clear" w:color="auto" w:fill="auto"/>
            <w:vAlign w:val="center"/>
          </w:tcPr>
          <w:p w14:paraId="789BB72D">
            <w:pPr>
              <w:jc w:val="center"/>
              <w:rPr>
                <w:rFonts w:hint="eastAsia" w:ascii="宋体" w:hAnsi="宋体" w:cs="宋体" w:eastAsiaTheme="minorEastAsia"/>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1723" w:type="dxa"/>
            <w:shd w:val="clear" w:color="auto" w:fill="auto"/>
            <w:vAlign w:val="center"/>
          </w:tcPr>
          <w:p w14:paraId="18F65697">
            <w:pPr>
              <w:jc w:val="center"/>
              <w:rPr>
                <w:rFonts w:hint="eastAsia" w:ascii="宋体" w:hAnsi="宋体" w:eastAsia="宋体" w:cs="宋体"/>
                <w:b w:val="0"/>
                <w:bCs/>
                <w:color w:val="auto"/>
                <w:kern w:val="2"/>
                <w:sz w:val="24"/>
                <w:szCs w:val="24"/>
                <w:highlight w:val="none"/>
                <w:shd w:val="clear" w:color="auto" w:fill="FFFFFF"/>
                <w:lang w:val="en-US" w:eastAsia="zh-CN" w:bidi="ar-SA"/>
              </w:rPr>
            </w:pPr>
            <w:r>
              <w:rPr>
                <w:rFonts w:hint="eastAsia" w:ascii="宋体" w:hAnsi="宋体" w:eastAsia="宋体" w:cs="宋体"/>
                <w:b w:val="0"/>
                <w:bCs/>
                <w:color w:val="auto"/>
                <w:sz w:val="24"/>
                <w:szCs w:val="24"/>
                <w:highlight w:val="none"/>
                <w:shd w:val="clear" w:color="auto" w:fill="FFFFFF"/>
                <w:lang w:val="en-US" w:eastAsia="zh-CN"/>
              </w:rPr>
              <w:t>采购数量</w:t>
            </w:r>
          </w:p>
        </w:tc>
        <w:tc>
          <w:tcPr>
            <w:tcW w:w="6184" w:type="dxa"/>
            <w:shd w:val="clear" w:color="auto" w:fill="auto"/>
            <w:vAlign w:val="center"/>
          </w:tcPr>
          <w:p w14:paraId="7E065C9F">
            <w:pPr>
              <w:pStyle w:val="5"/>
              <w:keepNext w:val="0"/>
              <w:keepLines w:val="0"/>
              <w:pageBreakBefore w:val="0"/>
              <w:widowControl/>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color w:val="auto"/>
                <w:sz w:val="24"/>
                <w:szCs w:val="24"/>
                <w:highlight w:val="none"/>
                <w:shd w:val="clear" w:color="auto" w:fill="FFFFFF"/>
                <w:lang w:val="en-US" w:eastAsia="zh-CN"/>
              </w:rPr>
            </w:pPr>
            <w:r>
              <w:rPr>
                <w:rFonts w:hint="eastAsia" w:ascii="宋体" w:hAnsi="宋体" w:eastAsia="宋体" w:cs="宋体"/>
                <w:b w:val="0"/>
                <w:bCs/>
                <w:color w:val="auto"/>
                <w:sz w:val="24"/>
                <w:szCs w:val="24"/>
                <w:highlight w:val="none"/>
                <w:shd w:val="clear" w:color="auto" w:fill="FFFFFF"/>
                <w:lang w:val="en-US" w:eastAsia="zh-CN"/>
              </w:rPr>
              <w:t>预计采购20台</w:t>
            </w:r>
          </w:p>
        </w:tc>
      </w:tr>
      <w:tr w14:paraId="1726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0DC2E531">
            <w:pPr>
              <w:jc w:val="center"/>
              <w:rPr>
                <w:rFonts w:hint="eastAsia" w:ascii="宋体" w:hAnsi="宋体" w:cs="宋体" w:eastAsiaTheme="minorEastAsia"/>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1723" w:type="dxa"/>
            <w:vAlign w:val="center"/>
          </w:tcPr>
          <w:p w14:paraId="0BE8CC32">
            <w:pPr>
              <w:jc w:val="center"/>
              <w:rPr>
                <w:rFonts w:hint="eastAsia" w:ascii="宋体" w:hAnsi="宋体" w:cs="宋体" w:eastAsiaTheme="minorEastAsia"/>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磁卡读卡模块</w:t>
            </w:r>
          </w:p>
        </w:tc>
        <w:tc>
          <w:tcPr>
            <w:tcW w:w="6184" w:type="dxa"/>
            <w:vAlign w:val="center"/>
          </w:tcPr>
          <w:p w14:paraId="37B47F21">
            <w:pPr>
              <w:jc w:val="left"/>
              <w:rPr>
                <w:rFonts w:hint="eastAsia" w:ascii="宋体" w:hAnsi="宋体" w:cs="宋体"/>
                <w:color w:val="000000" w:themeColor="text1"/>
                <w:sz w:val="24"/>
                <w:szCs w:val="24"/>
                <w14:textFill>
                  <w14:solidFill>
                    <w14:schemeClr w14:val="tx1"/>
                  </w14:solidFill>
                </w14:textFill>
              </w:rPr>
            </w:pPr>
            <w:r>
              <w:rPr>
                <w:rFonts w:hint="eastAsia" w:ascii="宋体" w:hAnsi="宋体" w:eastAsia="宋体" w:cs="宋体"/>
                <w:b w:val="0"/>
                <w:bCs w:val="0"/>
                <w:sz w:val="24"/>
                <w:szCs w:val="24"/>
                <w:lang w:val="en-US" w:eastAsia="zh-CN"/>
              </w:rPr>
              <w:t>应支持2、3轨磁道阅读，双向刷卡</w:t>
            </w:r>
          </w:p>
        </w:tc>
      </w:tr>
      <w:tr w14:paraId="6A4B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3435CA9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1723" w:type="dxa"/>
            <w:vAlign w:val="center"/>
          </w:tcPr>
          <w:p w14:paraId="3ACAAC9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lang w:val="en-US" w:eastAsia="zh-CN"/>
              </w:rPr>
              <w:t>IC卡读卡模块</w:t>
            </w:r>
          </w:p>
        </w:tc>
        <w:tc>
          <w:tcPr>
            <w:tcW w:w="6184" w:type="dxa"/>
            <w:vAlign w:val="center"/>
          </w:tcPr>
          <w:p w14:paraId="01D0DBE9">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应支持社会保障卡读取，符合GB/T 16649标准；同时支持T=0和T=1标准，读写速度支持：9600bps至38400bps</w:t>
            </w:r>
          </w:p>
        </w:tc>
      </w:tr>
      <w:tr w14:paraId="7BA2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56291F2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1723" w:type="dxa"/>
            <w:vAlign w:val="center"/>
          </w:tcPr>
          <w:p w14:paraId="5541982E">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非接卡阅读模块</w:t>
            </w:r>
          </w:p>
        </w:tc>
        <w:tc>
          <w:tcPr>
            <w:tcW w:w="6184" w:type="dxa"/>
            <w:vAlign w:val="center"/>
          </w:tcPr>
          <w:p w14:paraId="62A4533C">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符合GB/T 22351标准，支持TypeA/B，Mifare卡；支持读取第三代社会保障卡信息</w:t>
            </w:r>
          </w:p>
        </w:tc>
      </w:tr>
      <w:tr w14:paraId="69D7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01BB47E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1723" w:type="dxa"/>
            <w:vAlign w:val="center"/>
          </w:tcPr>
          <w:p w14:paraId="2A992205">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二维码扫描模块</w:t>
            </w:r>
          </w:p>
        </w:tc>
        <w:tc>
          <w:tcPr>
            <w:tcW w:w="6184" w:type="dxa"/>
            <w:vAlign w:val="center"/>
          </w:tcPr>
          <w:p w14:paraId="2B012796">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图像传感器：640×480CMOS，最小识读精度：≥5mil；可识别一维码/二维码；可支持读符合卫健委标准的电子健康卡；可支持读符合人社部标准的电子社保卡；可支持医保电子凭证功能</w:t>
            </w:r>
          </w:p>
        </w:tc>
      </w:tr>
      <w:tr w14:paraId="340A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3BFA848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1723" w:type="dxa"/>
            <w:vAlign w:val="center"/>
          </w:tcPr>
          <w:p w14:paraId="0EB937BC">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通讯接口</w:t>
            </w:r>
          </w:p>
        </w:tc>
        <w:tc>
          <w:tcPr>
            <w:tcW w:w="6184" w:type="dxa"/>
            <w:vAlign w:val="center"/>
          </w:tcPr>
          <w:p w14:paraId="0BE20E9A">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应支持USB</w:t>
            </w:r>
          </w:p>
        </w:tc>
      </w:tr>
      <w:tr w14:paraId="0CCD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3A3DBD5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1723" w:type="dxa"/>
            <w:vAlign w:val="center"/>
          </w:tcPr>
          <w:p w14:paraId="57492F98">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SAM卡座</w:t>
            </w:r>
          </w:p>
        </w:tc>
        <w:tc>
          <w:tcPr>
            <w:tcW w:w="6184" w:type="dxa"/>
            <w:vAlign w:val="center"/>
          </w:tcPr>
          <w:p w14:paraId="2FAA5CF3">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≥4个SAM卡座，符合GB/T 16649标准卡座，可按要求同时安装不同应用的PSAM卡（</w:t>
            </w:r>
            <w:r>
              <w:rPr>
                <w:rFonts w:hint="eastAsia" w:ascii="宋体" w:hAnsi="宋体" w:eastAsia="宋体" w:cs="宋体"/>
                <w:b w:val="0"/>
                <w:bCs w:val="0"/>
                <w:sz w:val="24"/>
                <w:szCs w:val="24"/>
                <w:highlight w:val="none"/>
                <w:lang w:val="en-US" w:eastAsia="zh-CN"/>
              </w:rPr>
              <w:t>由</w:t>
            </w: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sz w:val="24"/>
                <w:szCs w:val="24"/>
                <w:highlight w:val="none"/>
                <w:lang w:val="en-US" w:eastAsia="zh-CN"/>
              </w:rPr>
              <w:t>提供</w:t>
            </w:r>
            <w:r>
              <w:rPr>
                <w:rFonts w:hint="eastAsia" w:ascii="宋体" w:hAnsi="宋体" w:eastAsia="宋体" w:cs="宋体"/>
                <w:b w:val="0"/>
                <w:bCs w:val="0"/>
                <w:sz w:val="24"/>
                <w:szCs w:val="24"/>
                <w:lang w:val="en-US" w:eastAsia="zh-CN"/>
              </w:rPr>
              <w:t>）</w:t>
            </w:r>
          </w:p>
        </w:tc>
      </w:tr>
      <w:tr w14:paraId="2D3D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06382A5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1723" w:type="dxa"/>
            <w:vAlign w:val="center"/>
          </w:tcPr>
          <w:p w14:paraId="307BE23D">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驱动支持</w:t>
            </w:r>
          </w:p>
        </w:tc>
        <w:tc>
          <w:tcPr>
            <w:tcW w:w="6184" w:type="dxa"/>
            <w:vAlign w:val="center"/>
          </w:tcPr>
          <w:p w14:paraId="064A3AC2">
            <w:p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应支持Windows7、Windows10、Android、国产操作系统等</w:t>
            </w:r>
          </w:p>
        </w:tc>
      </w:tr>
      <w:tr w14:paraId="7FCA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21" w:type="dxa"/>
            <w:vAlign w:val="center"/>
          </w:tcPr>
          <w:p w14:paraId="2A2BC59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1723" w:type="dxa"/>
            <w:vAlign w:val="center"/>
          </w:tcPr>
          <w:p w14:paraId="549E2668">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其他要求</w:t>
            </w:r>
          </w:p>
          <w:p w14:paraId="7D09233E">
            <w:pPr>
              <w:pStyle w:val="2"/>
              <w:rPr>
                <w:rFonts w:hint="default"/>
                <w:lang w:val="en-US" w:eastAsia="zh-CN"/>
              </w:rPr>
            </w:pPr>
            <w:r>
              <w:rPr>
                <w:rFonts w:hint="eastAsia" w:ascii="宋体" w:hAnsi="宋体" w:eastAsia="宋体" w:cs="宋体"/>
                <w:b w:val="0"/>
                <w:bCs w:val="0"/>
                <w:color w:val="FF0000"/>
                <w:sz w:val="24"/>
                <w:szCs w:val="24"/>
                <w:lang w:val="en-US" w:eastAsia="zh-CN"/>
              </w:rPr>
              <w:t>（投标人需提供专项承诺函）</w:t>
            </w:r>
          </w:p>
        </w:tc>
        <w:tc>
          <w:tcPr>
            <w:tcW w:w="6184" w:type="dxa"/>
            <w:vAlign w:val="center"/>
          </w:tcPr>
          <w:p w14:paraId="50F52DBD">
            <w:pPr>
              <w:numPr>
                <w:ilvl w:val="0"/>
                <w:numId w:val="0"/>
              </w:numPr>
              <w:jc w:val="left"/>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lang w:val="en-US" w:eastAsia="zh-CN" w:bidi="ar-SA"/>
              </w:rPr>
              <w:t>1.</w:t>
            </w:r>
            <w:r>
              <w:rPr>
                <w:rFonts w:hint="eastAsia" w:ascii="宋体" w:hAnsi="宋体" w:eastAsia="宋体" w:cs="宋体"/>
                <w:b w:val="0"/>
                <w:bCs w:val="0"/>
                <w:sz w:val="24"/>
                <w:szCs w:val="24"/>
                <w:highlight w:val="none"/>
              </w:rPr>
              <w:t>每个读卡器内必须配第三代社保卡PSAM卡芯片</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highlight w:val="none"/>
                <w:lang w:val="en-US" w:eastAsia="zh-CN"/>
              </w:rPr>
              <w:t>由</w:t>
            </w: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sz w:val="24"/>
                <w:szCs w:val="24"/>
                <w:highlight w:val="none"/>
                <w:lang w:val="en-US" w:eastAsia="zh-CN"/>
              </w:rPr>
              <w:t>提供</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highlight w:val="none"/>
              </w:rPr>
              <w:t>，支持读取第三代社保卡和院内的IC就诊卡。</w:t>
            </w:r>
          </w:p>
          <w:p w14:paraId="70937358">
            <w:pPr>
              <w:pStyle w:val="2"/>
              <w:numPr>
                <w:ilvl w:val="0"/>
                <w:numId w:val="0"/>
              </w:numPr>
              <w:jc w:val="left"/>
              <w:rPr>
                <w:rFonts w:hint="eastAsia" w:ascii="宋体" w:hAnsi="宋体" w:eastAsia="宋体" w:cs="宋体"/>
                <w:color w:val="auto"/>
                <w:spacing w:val="3"/>
                <w:sz w:val="24"/>
                <w:szCs w:val="24"/>
                <w:highlight w:val="none"/>
                <w:lang w:eastAsia="zh-CN"/>
              </w:rPr>
            </w:pPr>
            <w:r>
              <w:rPr>
                <w:rFonts w:hint="eastAsia" w:ascii="宋体" w:hAnsi="宋体" w:eastAsia="宋体" w:cs="宋体"/>
                <w:b w:val="0"/>
                <w:bCs w:val="0"/>
                <w:kern w:val="2"/>
                <w:sz w:val="24"/>
                <w:szCs w:val="24"/>
                <w:lang w:val="en-US" w:eastAsia="zh-CN" w:bidi="ar-SA"/>
              </w:rPr>
              <w:t>2.</w:t>
            </w:r>
            <w:r>
              <w:rPr>
                <w:rFonts w:hint="eastAsia" w:ascii="宋体" w:hAnsi="宋体" w:eastAsia="宋体" w:cs="宋体"/>
                <w:color w:val="auto"/>
                <w:spacing w:val="1"/>
                <w:sz w:val="24"/>
                <w:szCs w:val="24"/>
                <w:highlight w:val="none"/>
              </w:rPr>
              <w:t>应支持福建省社会保障卡（二代实体卡、三代实</w:t>
            </w:r>
            <w:r>
              <w:rPr>
                <w:rFonts w:hint="eastAsia" w:ascii="宋体" w:hAnsi="宋体" w:eastAsia="宋体" w:cs="宋体"/>
                <w:color w:val="auto"/>
                <w:spacing w:val="3"/>
                <w:sz w:val="24"/>
                <w:szCs w:val="24"/>
                <w:highlight w:val="none"/>
              </w:rPr>
              <w:t>体卡）读取、结算</w:t>
            </w:r>
            <w:r>
              <w:rPr>
                <w:rFonts w:hint="eastAsia" w:ascii="宋体" w:hAnsi="宋体" w:eastAsia="宋体" w:cs="宋体"/>
                <w:color w:val="auto"/>
                <w:spacing w:val="3"/>
                <w:sz w:val="24"/>
                <w:szCs w:val="24"/>
                <w:highlight w:val="none"/>
                <w:lang w:eastAsia="zh-CN"/>
              </w:rPr>
              <w:t>。</w:t>
            </w:r>
          </w:p>
          <w:p w14:paraId="73AD6EFE">
            <w:pPr>
              <w:pStyle w:val="2"/>
              <w:numPr>
                <w:ilvl w:val="0"/>
                <w:numId w:val="0"/>
              </w:numPr>
              <w:jc w:val="left"/>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3"/>
                <w:sz w:val="24"/>
                <w:szCs w:val="24"/>
                <w:highlight w:val="none"/>
                <w:lang w:val="en-US" w:eastAsia="zh-CN"/>
              </w:rPr>
              <w:t>3.</w:t>
            </w:r>
            <w:r>
              <w:rPr>
                <w:rFonts w:hint="eastAsia" w:ascii="宋体" w:hAnsi="宋体" w:eastAsia="宋体" w:cs="宋体"/>
                <w:color w:val="auto"/>
                <w:spacing w:val="1"/>
                <w:sz w:val="24"/>
                <w:szCs w:val="24"/>
                <w:highlight w:val="none"/>
              </w:rPr>
              <w:t>应支持全国各省社会保障卡（含医保卡）、福建省二级保健卡IC卡、福建省省直单位离休干部离休费医药费管理中心发放IC卡及其PASM、院内磁条就诊卡、居民身份证、国家医保电子凭证等</w:t>
            </w:r>
            <w:r>
              <w:rPr>
                <w:rFonts w:hint="eastAsia" w:ascii="宋体" w:hAnsi="宋体" w:eastAsia="宋体" w:cs="宋体"/>
                <w:color w:val="auto"/>
                <w:spacing w:val="3"/>
                <w:sz w:val="24"/>
                <w:szCs w:val="24"/>
                <w:highlight w:val="none"/>
              </w:rPr>
              <w:t>读取</w:t>
            </w:r>
            <w:r>
              <w:rPr>
                <w:rFonts w:hint="eastAsia" w:ascii="宋体" w:hAnsi="宋体" w:eastAsia="宋体" w:cs="宋体"/>
                <w:color w:val="auto"/>
                <w:spacing w:val="1"/>
                <w:sz w:val="24"/>
                <w:szCs w:val="24"/>
                <w:highlight w:val="none"/>
                <w:lang w:eastAsia="zh-CN"/>
              </w:rPr>
              <w:t>。应支持福建省社会保障就诊一卡通接口，医院相关业务系统无需改造程序代码可直接调用读取上述各种就诊卡，若涉及相关业务系统改造，改造费用包含在本次</w:t>
            </w:r>
            <w:r>
              <w:rPr>
                <w:rFonts w:hint="eastAsia" w:ascii="宋体" w:hAnsi="宋体" w:eastAsia="宋体" w:cs="宋体"/>
                <w:color w:val="auto"/>
                <w:spacing w:val="1"/>
                <w:sz w:val="24"/>
                <w:szCs w:val="24"/>
                <w:highlight w:val="none"/>
                <w:lang w:val="en-US" w:eastAsia="zh-CN"/>
              </w:rPr>
              <w:t>投标</w:t>
            </w:r>
            <w:r>
              <w:rPr>
                <w:rFonts w:hint="eastAsia" w:ascii="宋体" w:hAnsi="宋体" w:eastAsia="宋体" w:cs="宋体"/>
                <w:color w:val="auto"/>
                <w:spacing w:val="1"/>
                <w:sz w:val="24"/>
                <w:szCs w:val="24"/>
                <w:highlight w:val="none"/>
                <w:lang w:eastAsia="zh-CN"/>
              </w:rPr>
              <w:t>报价中（包含支付给第三方业务系统的改造费</w:t>
            </w:r>
            <w:r>
              <w:rPr>
                <w:rFonts w:hint="eastAsia" w:ascii="宋体" w:hAnsi="宋体" w:eastAsia="宋体" w:cs="宋体"/>
                <w:color w:val="auto"/>
                <w:spacing w:val="3"/>
                <w:sz w:val="24"/>
                <w:szCs w:val="24"/>
                <w:highlight w:val="none"/>
                <w:lang w:eastAsia="zh-CN"/>
              </w:rPr>
              <w:t>用</w:t>
            </w:r>
            <w:r>
              <w:rPr>
                <w:rFonts w:hint="eastAsia" w:ascii="宋体" w:hAnsi="宋体" w:eastAsia="宋体" w:cs="宋体"/>
                <w:color w:val="auto"/>
                <w:spacing w:val="12"/>
                <w:sz w:val="24"/>
                <w:szCs w:val="24"/>
                <w:highlight w:val="none"/>
                <w:lang w:eastAsia="zh-CN"/>
              </w:rPr>
              <w:t>）</w:t>
            </w:r>
            <w:r>
              <w:rPr>
                <w:rFonts w:hint="eastAsia" w:ascii="宋体" w:hAnsi="宋体" w:eastAsia="宋体" w:cs="宋体"/>
                <w:color w:val="auto"/>
                <w:spacing w:val="1"/>
                <w:sz w:val="24"/>
                <w:szCs w:val="24"/>
                <w:highlight w:val="none"/>
                <w:lang w:eastAsia="zh-CN"/>
              </w:rPr>
              <w:t>。</w:t>
            </w:r>
          </w:p>
          <w:p w14:paraId="5DFEA95D">
            <w:pPr>
              <w:pStyle w:val="2"/>
              <w:numPr>
                <w:ilvl w:val="0"/>
                <w:numId w:val="0"/>
              </w:numPr>
              <w:jc w:val="left"/>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应支持与福建省医保系统、福建省省直保健系统、福州市保健系统、福建省省直单位离休干部离休费医药费管理中心系统等对接，支持门诊住院结算，若涉及相关业务系统改造，改造费用包含在本次报价中（包含支付给第三方业务系统的改造费用</w:t>
            </w: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eastAsia="zh-CN"/>
              </w:rPr>
              <w:t>配套原厂自主研发的读卡配套动态库，并提供调用用接口文档，满足</w:t>
            </w:r>
            <w:r>
              <w:rPr>
                <w:rFonts w:hint="eastAsia" w:ascii="宋体" w:hAnsi="宋体" w:eastAsia="宋体" w:cs="宋体"/>
                <w:color w:val="auto"/>
                <w:spacing w:val="-1"/>
                <w:sz w:val="24"/>
                <w:szCs w:val="24"/>
                <w:highlight w:val="none"/>
                <w:lang w:val="en-US" w:eastAsia="zh-CN"/>
              </w:rPr>
              <w:t>招标</w:t>
            </w:r>
            <w:r>
              <w:rPr>
                <w:rFonts w:hint="eastAsia" w:ascii="宋体" w:hAnsi="宋体" w:eastAsia="宋体" w:cs="宋体"/>
                <w:color w:val="auto"/>
                <w:spacing w:val="-1"/>
                <w:sz w:val="24"/>
                <w:szCs w:val="24"/>
                <w:highlight w:val="none"/>
                <w:lang w:eastAsia="zh-CN"/>
              </w:rPr>
              <w:t>文件规定的读卡要求</w:t>
            </w:r>
            <w:r>
              <w:rPr>
                <w:rFonts w:hint="eastAsia" w:ascii="宋体" w:hAnsi="宋体" w:eastAsia="宋体" w:cs="宋体"/>
                <w:color w:val="auto"/>
                <w:spacing w:val="1"/>
                <w:sz w:val="24"/>
                <w:szCs w:val="24"/>
                <w:highlight w:val="none"/>
                <w:lang w:eastAsia="zh-CN"/>
              </w:rPr>
              <w:t>。</w:t>
            </w:r>
          </w:p>
        </w:tc>
      </w:tr>
      <w:tr w14:paraId="001F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721" w:type="dxa"/>
            <w:vAlign w:val="center"/>
          </w:tcPr>
          <w:p w14:paraId="353D57D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1723" w:type="dxa"/>
            <w:vAlign w:val="center"/>
          </w:tcPr>
          <w:p w14:paraId="5BEFAC8A">
            <w:pPr>
              <w:jc w:val="center"/>
              <w:rPr>
                <w:rFonts w:hint="eastAsia" w:ascii="宋体" w:hAnsi="宋体" w:eastAsia="宋体" w:cs="宋体"/>
                <w:b w:val="0"/>
                <w:bCs w:val="0"/>
                <w:sz w:val="24"/>
                <w:szCs w:val="24"/>
                <w:lang w:val="en-US" w:eastAsia="zh-CN"/>
              </w:rPr>
            </w:pPr>
            <w:r>
              <w:rPr>
                <w:rFonts w:hint="eastAsia" w:ascii="宋体" w:hAnsi="宋体" w:eastAsia="宋体" w:cs="宋体"/>
                <w:b w:val="0"/>
                <w:bCs/>
                <w:color w:val="auto"/>
                <w:sz w:val="24"/>
                <w:szCs w:val="24"/>
                <w:highlight w:val="none"/>
                <w:shd w:val="clear" w:color="auto" w:fill="FFFFFF"/>
                <w:lang w:val="en-US" w:eastAsia="zh-CN"/>
              </w:rPr>
              <w:t>质量保障</w:t>
            </w:r>
          </w:p>
        </w:tc>
        <w:tc>
          <w:tcPr>
            <w:tcW w:w="6184" w:type="dxa"/>
            <w:vAlign w:val="center"/>
          </w:tcPr>
          <w:p w14:paraId="7F8897CF">
            <w:pPr>
              <w:pStyle w:val="5"/>
              <w:keepNext w:val="0"/>
              <w:keepLines w:val="0"/>
              <w:pageBreakBefore w:val="0"/>
              <w:widowControl/>
              <w:kinsoku/>
              <w:wordWrap/>
              <w:overflowPunct/>
              <w:topLinePunct w:val="0"/>
              <w:autoSpaceDE/>
              <w:autoSpaceDN/>
              <w:bidi w:val="0"/>
              <w:adjustRightInd/>
              <w:snapToGrid/>
              <w:spacing w:line="312" w:lineRule="auto"/>
              <w:jc w:val="left"/>
              <w:textAlignment w:val="auto"/>
              <w:rPr>
                <w:rFonts w:hint="eastAsia" w:ascii="宋体" w:hAnsi="宋体" w:eastAsia="宋体" w:cs="宋体"/>
                <w:b w:val="0"/>
                <w:bCs/>
                <w:color w:val="auto"/>
                <w:sz w:val="24"/>
                <w:szCs w:val="24"/>
                <w:highlight w:val="none"/>
                <w:shd w:val="clear" w:color="auto" w:fill="FFFFFF"/>
                <w:lang w:val="en-US" w:eastAsia="zh-CN"/>
              </w:rPr>
            </w:pPr>
            <w:r>
              <w:rPr>
                <w:rFonts w:hint="eastAsia" w:ascii="宋体" w:hAnsi="宋体" w:eastAsia="宋体" w:cs="宋体"/>
                <w:b w:val="0"/>
                <w:bCs/>
                <w:color w:val="auto"/>
                <w:sz w:val="24"/>
                <w:szCs w:val="24"/>
                <w:highlight w:val="none"/>
                <w:shd w:val="clear" w:color="auto" w:fill="FFFFFF"/>
                <w:lang w:val="en-US" w:eastAsia="zh-CN"/>
              </w:rPr>
              <w:t>为确保与全国社保卡系统的对接，对投标人所投社保卡、多功能读卡器核心要求如下：</w:t>
            </w:r>
          </w:p>
          <w:p w14:paraId="4304CD7D">
            <w:pPr>
              <w:pStyle w:val="5"/>
              <w:keepNext w:val="0"/>
              <w:keepLines w:val="0"/>
              <w:pageBreakBefore w:val="0"/>
              <w:widowControl/>
              <w:kinsoku/>
              <w:wordWrap/>
              <w:overflowPunct/>
              <w:topLinePunct w:val="0"/>
              <w:autoSpaceDE/>
              <w:autoSpaceDN/>
              <w:bidi w:val="0"/>
              <w:adjustRightInd/>
              <w:snapToGrid/>
              <w:spacing w:line="312" w:lineRule="auto"/>
              <w:ind w:firstLine="482"/>
              <w:jc w:val="left"/>
              <w:textAlignment w:val="auto"/>
              <w:rPr>
                <w:rFonts w:hint="eastAsia" w:ascii="宋体" w:hAnsi="宋体" w:eastAsia="宋体" w:cs="宋体"/>
                <w:b/>
                <w:bCs/>
                <w:sz w:val="24"/>
                <w:szCs w:val="24"/>
                <w:lang w:val="en-US" w:eastAsia="zh-CN"/>
              </w:rPr>
            </w:pPr>
            <w:r>
              <w:rPr>
                <w:rFonts w:hint="eastAsia" w:ascii="宋体" w:hAnsi="宋体" w:eastAsia="宋体" w:cs="宋体"/>
                <w:b w:val="0"/>
                <w:bCs/>
                <w:color w:val="auto"/>
                <w:sz w:val="24"/>
                <w:szCs w:val="24"/>
                <w:highlight w:val="none"/>
                <w:shd w:val="clear" w:color="auto" w:fill="FFFFFF"/>
                <w:lang w:val="en-US" w:eastAsia="zh-CN"/>
              </w:rPr>
              <w:t>投标人须承诺中标后提供的产品已通过相关检测，确保在功能、性能及安全性上与国家标准兼容，保障医院业务顺畅运行。</w:t>
            </w:r>
          </w:p>
        </w:tc>
      </w:tr>
    </w:tbl>
    <w:p w14:paraId="0DFDCE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AA7B33"/>
    <w:rsid w:val="1B294C9D"/>
    <w:rsid w:val="41763F74"/>
    <w:rsid w:val="62AA7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808</Words>
  <Characters>914</Characters>
  <Lines>0</Lines>
  <Paragraphs>0</Paragraphs>
  <TotalTime>9</TotalTime>
  <ScaleCrop>false</ScaleCrop>
  <LinksUpToDate>false</LinksUpToDate>
  <CharactersWithSpaces>917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2026-08-17T02:48:00Z</dcterms:created>
  <dc:creator>fjsetyy</dc:creator>
  <cp:lastModifiedBy>肖华香</cp:lastModifiedBy>
  <cp:lastPrinted>2026-08-17T03:20:00Z</cp:lastPrinted>
  <dcterms:modified xsi:type="dcterms:W3CDTF">2026-08-20T07:48:35Z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574D899BDC4242B5B766E3DD8025E114_13</vt:lpwstr>
  </property>
  <property fmtid="{D5CDD505-2E9C-101B-9397-08002B2CF9AE}" pid="4" name="KSOTemplateDocerSaveRecord">
    <vt:lpwstr>eyJoZGlkIjoiYTQwZDgzY2I3Yjk2OTllMDYyYmQ4MjQzMWMzY2ZlY2IiLCJ1c2VySWQiOiIxNzY2MTE2MzI4In0=</vt:lpwstr>
  </property>
</Properties>
</file>